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18" w:rsidRDefault="00A05C18" w:rsidP="00A05C18">
      <w:pPr>
        <w:pStyle w:val="Ttulo2"/>
      </w:pPr>
      <w:bookmarkStart w:id="0" w:name="_Toc234040110"/>
    </w:p>
    <w:p w:rsidR="00A05C18" w:rsidRDefault="00A05C18" w:rsidP="00A05C18">
      <w:pPr>
        <w:jc w:val="center"/>
        <w:rPr>
          <w:rFonts w:ascii="Arial" w:hAnsi="Arial" w:cs="Arial"/>
          <w:b/>
          <w:sz w:val="36"/>
          <w:szCs w:val="36"/>
        </w:rPr>
      </w:pPr>
      <w:bookmarkStart w:id="1" w:name="_Toc150938359"/>
      <w:r w:rsidRPr="00B12020">
        <w:rPr>
          <w:rFonts w:ascii="Arial" w:hAnsi="Arial" w:cs="Arial"/>
          <w:b/>
          <w:sz w:val="36"/>
          <w:szCs w:val="36"/>
        </w:rPr>
        <w:t>Sumário</w:t>
      </w:r>
      <w:bookmarkEnd w:id="1"/>
    </w:p>
    <w:p w:rsidR="009D727F" w:rsidRDefault="009D727F" w:rsidP="00A05C18">
      <w:pPr>
        <w:jc w:val="center"/>
        <w:rPr>
          <w:rFonts w:ascii="Arial" w:hAnsi="Arial" w:cs="Arial"/>
          <w:b/>
          <w:sz w:val="36"/>
          <w:szCs w:val="36"/>
        </w:rPr>
      </w:pPr>
    </w:p>
    <w:p w:rsidR="009D727F" w:rsidRDefault="009D727F">
      <w:pPr>
        <w:pStyle w:val="Sumrio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  <w:lang w:eastAsia="pt-BR"/>
        </w:rPr>
      </w:pPr>
      <w:r>
        <w:rPr>
          <w:rFonts w:ascii="Arial" w:hAnsi="Arial" w:cs="Arial"/>
          <w:b/>
          <w:sz w:val="36"/>
          <w:szCs w:val="36"/>
        </w:rPr>
        <w:fldChar w:fldCharType="begin"/>
      </w:r>
      <w:r>
        <w:rPr>
          <w:rFonts w:ascii="Arial" w:hAnsi="Arial" w:cs="Arial"/>
          <w:b/>
          <w:sz w:val="36"/>
          <w:szCs w:val="36"/>
        </w:rPr>
        <w:instrText xml:space="preserve"> TOC \o "1-3" \u </w:instrText>
      </w:r>
      <w:r>
        <w:rPr>
          <w:rFonts w:ascii="Arial" w:hAnsi="Arial" w:cs="Arial"/>
          <w:b/>
          <w:sz w:val="36"/>
          <w:szCs w:val="36"/>
        </w:rPr>
        <w:fldChar w:fldCharType="separate"/>
      </w:r>
      <w:r w:rsidRPr="000039BA">
        <w:rPr>
          <w:noProof/>
          <w:kern w:val="36"/>
        </w:rPr>
        <w:t>1.</w:t>
      </w:r>
      <w:r>
        <w:rPr>
          <w:rFonts w:asciiTheme="minorHAnsi" w:eastAsiaTheme="minorEastAsia" w:hAnsiTheme="minorHAnsi" w:cstheme="minorBidi"/>
          <w:noProof/>
          <w:lang w:eastAsia="pt-BR"/>
        </w:rPr>
        <w:tab/>
      </w:r>
      <w:r>
        <w:rPr>
          <w:noProof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_Toc234112139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D727F" w:rsidRDefault="009D727F">
      <w:pPr>
        <w:pStyle w:val="Sumrio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lang w:eastAsia="pt-BR"/>
        </w:rPr>
      </w:pPr>
      <w:r>
        <w:rPr>
          <w:noProof/>
        </w:rPr>
        <w:t>1.1.</w:t>
      </w:r>
      <w:r>
        <w:rPr>
          <w:rFonts w:asciiTheme="minorHAnsi" w:eastAsiaTheme="minorEastAsia" w:hAnsiTheme="minorHAnsi" w:cstheme="minorBidi"/>
          <w:noProof/>
          <w:lang w:eastAsia="pt-BR"/>
        </w:rPr>
        <w:tab/>
      </w:r>
      <w:r>
        <w:rPr>
          <w:noProof/>
        </w:rPr>
        <w:t>Finalidade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_Toc234112140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D727F" w:rsidRDefault="009D727F">
      <w:pPr>
        <w:pStyle w:val="Sumrio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lang w:eastAsia="pt-BR"/>
        </w:rPr>
      </w:pPr>
      <w:r>
        <w:rPr>
          <w:noProof/>
        </w:rPr>
        <w:t>1.2.</w:t>
      </w:r>
      <w:r>
        <w:rPr>
          <w:rFonts w:asciiTheme="minorHAnsi" w:eastAsiaTheme="minorEastAsia" w:hAnsiTheme="minorHAnsi" w:cstheme="minorBidi"/>
          <w:noProof/>
          <w:lang w:eastAsia="pt-BR"/>
        </w:rPr>
        <w:tab/>
      </w:r>
      <w:r>
        <w:rPr>
          <w:noProof/>
        </w:rPr>
        <w:t>Definições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_Toc234112141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D727F" w:rsidRDefault="009D727F">
      <w:pPr>
        <w:pStyle w:val="Sumrio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lang w:eastAsia="pt-BR"/>
        </w:rPr>
      </w:pPr>
      <w:r>
        <w:rPr>
          <w:noProof/>
        </w:rPr>
        <w:t>1.3.</w:t>
      </w:r>
      <w:r>
        <w:rPr>
          <w:rFonts w:asciiTheme="minorHAnsi" w:eastAsiaTheme="minorEastAsia" w:hAnsiTheme="minorHAnsi" w:cstheme="minorBidi"/>
          <w:noProof/>
          <w:lang w:eastAsia="pt-BR"/>
        </w:rPr>
        <w:tab/>
      </w:r>
      <w:r>
        <w:rPr>
          <w:noProof/>
        </w:rPr>
        <w:t>Referências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_Toc234112142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D727F" w:rsidRDefault="009D727F">
      <w:pPr>
        <w:pStyle w:val="Sumrio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  <w:lang w:eastAsia="pt-B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lang w:eastAsia="pt-BR"/>
        </w:rPr>
        <w:tab/>
      </w:r>
      <w:r>
        <w:rPr>
          <w:noProof/>
        </w:rPr>
        <w:t>Projeto Básico [IN nº 2/2008]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_Toc234112143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D727F" w:rsidRDefault="009D727F" w:rsidP="00A05C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fldChar w:fldCharType="end"/>
      </w:r>
    </w:p>
    <w:p w:rsidR="009D727F" w:rsidRDefault="009D727F" w:rsidP="00A05C18">
      <w:pPr>
        <w:jc w:val="center"/>
        <w:rPr>
          <w:rFonts w:ascii="Arial" w:hAnsi="Arial" w:cs="Arial"/>
          <w:b/>
          <w:sz w:val="36"/>
          <w:szCs w:val="36"/>
        </w:rPr>
      </w:pPr>
    </w:p>
    <w:p w:rsidR="009D727F" w:rsidRDefault="009D727F" w:rsidP="00A05C18">
      <w:pPr>
        <w:jc w:val="center"/>
        <w:rPr>
          <w:rFonts w:ascii="Arial" w:hAnsi="Arial" w:cs="Arial"/>
          <w:b/>
          <w:sz w:val="36"/>
          <w:szCs w:val="36"/>
        </w:rPr>
      </w:pPr>
    </w:p>
    <w:p w:rsidR="009D727F" w:rsidRDefault="009D727F" w:rsidP="00A05C18">
      <w:pPr>
        <w:jc w:val="center"/>
        <w:rPr>
          <w:rFonts w:ascii="Arial" w:hAnsi="Arial" w:cs="Arial"/>
          <w:b/>
          <w:sz w:val="36"/>
          <w:szCs w:val="36"/>
        </w:rPr>
      </w:pPr>
    </w:p>
    <w:p w:rsidR="009D727F" w:rsidRDefault="009D727F" w:rsidP="00A05C18">
      <w:pPr>
        <w:jc w:val="center"/>
        <w:rPr>
          <w:rFonts w:ascii="Arial" w:hAnsi="Arial" w:cs="Arial"/>
          <w:b/>
          <w:sz w:val="36"/>
          <w:szCs w:val="36"/>
        </w:rPr>
      </w:pPr>
    </w:p>
    <w:p w:rsidR="009D727F" w:rsidRDefault="009D727F" w:rsidP="00A05C18">
      <w:pPr>
        <w:jc w:val="center"/>
        <w:rPr>
          <w:rFonts w:ascii="Arial" w:hAnsi="Arial" w:cs="Arial"/>
          <w:b/>
          <w:sz w:val="36"/>
          <w:szCs w:val="36"/>
        </w:rPr>
      </w:pPr>
    </w:p>
    <w:p w:rsidR="00616992" w:rsidRDefault="00616992">
      <w:pPr>
        <w:spacing w:after="0" w:line="240" w:lineRule="auto"/>
      </w:pPr>
      <w:bookmarkStart w:id="2" w:name="_Toc234111312"/>
      <w:bookmarkStart w:id="3" w:name="_Toc234111338"/>
      <w:r>
        <w:br w:type="page"/>
      </w:r>
    </w:p>
    <w:p w:rsidR="009D727F" w:rsidRDefault="009D727F">
      <w:pPr>
        <w:spacing w:after="0" w:line="240" w:lineRule="auto"/>
      </w:pPr>
    </w:p>
    <w:p w:rsidR="009D727F" w:rsidRDefault="009D727F">
      <w:pPr>
        <w:spacing w:after="0" w:line="240" w:lineRule="auto"/>
      </w:pPr>
    </w:p>
    <w:p w:rsidR="00A05C18" w:rsidRPr="00616992" w:rsidRDefault="00A05C18" w:rsidP="00616992">
      <w:pPr>
        <w:pStyle w:val="Ttulo1"/>
        <w:rPr>
          <w:kern w:val="36"/>
          <w:sz w:val="32"/>
          <w:szCs w:val="32"/>
        </w:rPr>
      </w:pPr>
      <w:bookmarkStart w:id="4" w:name="_Toc234111592"/>
      <w:bookmarkStart w:id="5" w:name="_Toc234111685"/>
      <w:bookmarkStart w:id="6" w:name="_Toc234112139"/>
      <w:r w:rsidRPr="00616992">
        <w:rPr>
          <w:sz w:val="32"/>
          <w:szCs w:val="32"/>
        </w:rPr>
        <w:t>Introdução</w:t>
      </w:r>
      <w:bookmarkEnd w:id="2"/>
      <w:bookmarkEnd w:id="3"/>
      <w:bookmarkEnd w:id="4"/>
      <w:bookmarkEnd w:id="5"/>
      <w:bookmarkEnd w:id="6"/>
    </w:p>
    <w:p w:rsidR="00A05C18" w:rsidRDefault="00A05C18" w:rsidP="00A05C18">
      <w:pPr>
        <w:pStyle w:val="Corpodetexto"/>
        <w:rPr>
          <w:lang w:eastAsia="pt-BR"/>
        </w:rPr>
      </w:pPr>
    </w:p>
    <w:p w:rsidR="009D727F" w:rsidRPr="00DF5283" w:rsidRDefault="009D727F" w:rsidP="00A05C18">
      <w:pPr>
        <w:pStyle w:val="Corpodetexto"/>
        <w:rPr>
          <w:lang w:eastAsia="pt-BR"/>
        </w:rPr>
      </w:pPr>
    </w:p>
    <w:p w:rsidR="009D727F" w:rsidRDefault="00A05C18" w:rsidP="005F2DAD">
      <w:pPr>
        <w:pStyle w:val="Ttulo2"/>
        <w:numPr>
          <w:ilvl w:val="1"/>
          <w:numId w:val="2"/>
        </w:numPr>
      </w:pPr>
      <w:bookmarkStart w:id="7" w:name="_Toc234111686"/>
      <w:bookmarkStart w:id="8" w:name="_Toc234112140"/>
      <w:r w:rsidRPr="009D727F">
        <w:t>Finalidade</w:t>
      </w:r>
      <w:bookmarkEnd w:id="7"/>
      <w:bookmarkEnd w:id="8"/>
    </w:p>
    <w:p w:rsidR="009D727F" w:rsidRPr="009D727F" w:rsidRDefault="009D727F" w:rsidP="009D727F"/>
    <w:p w:rsidR="00A05C18" w:rsidRDefault="00A05C18" w:rsidP="00A05C18">
      <w:pPr>
        <w:pStyle w:val="comentrio"/>
      </w:pPr>
      <w:r>
        <w:t xml:space="preserve">[A finalidade deste documento é o registro de </w:t>
      </w:r>
      <w:r w:rsidRPr="001141BC">
        <w:t>Acordo de Nível de Serviço - ANS</w:t>
      </w:r>
      <w:r>
        <w:t>.]</w:t>
      </w:r>
    </w:p>
    <w:p w:rsidR="009D727F" w:rsidRDefault="009D727F" w:rsidP="00A05C18">
      <w:pPr>
        <w:pStyle w:val="comentrio"/>
      </w:pPr>
    </w:p>
    <w:p w:rsidR="009D727F" w:rsidRDefault="009D727F" w:rsidP="00A05C18">
      <w:pPr>
        <w:pStyle w:val="comentrio"/>
      </w:pPr>
    </w:p>
    <w:p w:rsidR="00A05C18" w:rsidRDefault="00A05C18" w:rsidP="00A05C18">
      <w:pPr>
        <w:pStyle w:val="comentrio"/>
      </w:pPr>
    </w:p>
    <w:p w:rsidR="00A05C18" w:rsidRDefault="00A05C18" w:rsidP="005F2DAD">
      <w:pPr>
        <w:pStyle w:val="Ttulo2"/>
        <w:numPr>
          <w:ilvl w:val="1"/>
          <w:numId w:val="2"/>
        </w:numPr>
      </w:pPr>
      <w:bookmarkStart w:id="9" w:name="_Toc234112141"/>
      <w:r w:rsidRPr="009D727F">
        <w:t>Definições</w:t>
      </w:r>
      <w:bookmarkEnd w:id="9"/>
    </w:p>
    <w:p w:rsidR="009D727F" w:rsidRPr="009D727F" w:rsidRDefault="009D727F" w:rsidP="009D727F"/>
    <w:p w:rsidR="00A05C18" w:rsidRDefault="00A05C18" w:rsidP="00A05C18">
      <w:pPr>
        <w:pStyle w:val="comentrio"/>
        <w:rPr>
          <w:lang w:eastAsia="pt-BR"/>
        </w:rPr>
      </w:pPr>
      <w:r>
        <w:rPr>
          <w:lang w:eastAsia="pt-BR"/>
        </w:rPr>
        <w:t>[Esta subseção fornece as definições de todos os termos para entendimento do documento.</w:t>
      </w:r>
    </w:p>
    <w:p w:rsidR="00A05C18" w:rsidRDefault="00A05C18" w:rsidP="00A05C18">
      <w:pPr>
        <w:pStyle w:val="comentrio"/>
        <w:rPr>
          <w:lang w:eastAsia="pt-BR"/>
        </w:rPr>
      </w:pPr>
      <w:r>
        <w:rPr>
          <w:lang w:eastAsia="pt-BR"/>
        </w:rPr>
        <w:t xml:space="preserve">PROJETO BASICO [Lei nº 8.666/1993]: </w:t>
      </w:r>
      <w:r>
        <w:rPr>
          <w:lang w:eastAsia="pt-BR"/>
        </w:rPr>
        <w:t>Conjunto de elementos necessários e suficientes, com nível de precisão adequado, para caracterizar a obra ou serviço, ou complexo de obras ou serviços objeto da licitação, elaborado com base nas indicações dos estudos técnicos preliminares, que assegurem a viabilidade técnica e o adequado tratamento do impacto ambiental do empreendimento, e que possibilite a avaliação do custo da obra e a definição dos métodos e do prazo de execução, devendo conter os seguintes elementos:</w:t>
      </w:r>
    </w:p>
    <w:p w:rsidR="00A05C18" w:rsidRDefault="00A05C18" w:rsidP="00A05C18">
      <w:pPr>
        <w:pStyle w:val="comentrio"/>
        <w:rPr>
          <w:lang w:eastAsia="pt-BR"/>
        </w:rPr>
      </w:pPr>
    </w:p>
    <w:p w:rsidR="00A05C18" w:rsidRDefault="00A05C18" w:rsidP="00A05C18">
      <w:pPr>
        <w:pStyle w:val="comentrio"/>
        <w:rPr>
          <w:lang w:eastAsia="pt-BR"/>
        </w:rPr>
      </w:pPr>
      <w:r>
        <w:rPr>
          <w:lang w:eastAsia="pt-BR"/>
        </w:rPr>
        <w:t xml:space="preserve">   1.      Desenvolvimento da solução escolhida de forma a fornecer visão global da obra e identificar todos os seus elementos constitutivos com clareza;</w:t>
      </w:r>
    </w:p>
    <w:p w:rsidR="00A05C18" w:rsidRDefault="00A05C18" w:rsidP="00A05C18">
      <w:pPr>
        <w:pStyle w:val="comentrio"/>
        <w:rPr>
          <w:lang w:eastAsia="pt-BR"/>
        </w:rPr>
      </w:pPr>
      <w:r>
        <w:rPr>
          <w:lang w:eastAsia="pt-BR"/>
        </w:rPr>
        <w:t xml:space="preserve">   2.      Soluções técnicas globais e localizadas, suficientemente detalhadas, de forma a minimizar a necessidade de reformulação ou de variantes durante as fases de elaboração do projeto executivo e de realização das obras e montagem;</w:t>
      </w:r>
    </w:p>
    <w:p w:rsidR="00A05C18" w:rsidRDefault="00A05C18" w:rsidP="00A05C18">
      <w:pPr>
        <w:pStyle w:val="comentrio"/>
        <w:rPr>
          <w:lang w:eastAsia="pt-BR"/>
        </w:rPr>
      </w:pPr>
      <w:r>
        <w:rPr>
          <w:lang w:eastAsia="pt-BR"/>
        </w:rPr>
        <w:t xml:space="preserve">   3.      Identificação dos tipos de serviços a executar e de materiais e equipamentos a incorporar à obra, bem como suas especificações que assegurem os melhores resultados para o empreendimento, sem frustrar o caráter competitivo para a sua execução;</w:t>
      </w:r>
    </w:p>
    <w:p w:rsidR="00A05C18" w:rsidRDefault="00A05C18" w:rsidP="00A05C18">
      <w:pPr>
        <w:pStyle w:val="comentrio"/>
        <w:rPr>
          <w:lang w:eastAsia="pt-BR"/>
        </w:rPr>
      </w:pPr>
      <w:r>
        <w:rPr>
          <w:lang w:eastAsia="pt-BR"/>
        </w:rPr>
        <w:t xml:space="preserve">   4.      Informações que possibilitem o estudo e a dedução de métodos construtivos, instalações provisórias e condições organizacionais para a obra, sem frustrar o caráter competitivo para a sua execução;</w:t>
      </w:r>
    </w:p>
    <w:p w:rsidR="00A05C18" w:rsidRDefault="00A05C18" w:rsidP="00A05C18">
      <w:pPr>
        <w:pStyle w:val="comentrio"/>
        <w:rPr>
          <w:lang w:eastAsia="pt-BR"/>
        </w:rPr>
      </w:pPr>
      <w:r>
        <w:rPr>
          <w:lang w:eastAsia="pt-BR"/>
        </w:rPr>
        <w:t xml:space="preserve">   5.      Subsídios para montagem do plano de licitação e gestão da obra, compreendendo a sua programação, a estratégia de suprimentos, as normas de fiscalização e outros dados necessários em cada caso;</w:t>
      </w:r>
    </w:p>
    <w:p w:rsidR="00A05C18" w:rsidRDefault="00A05C18" w:rsidP="00A05C18">
      <w:pPr>
        <w:pStyle w:val="comentrio"/>
        <w:rPr>
          <w:lang w:eastAsia="pt-BR"/>
        </w:rPr>
      </w:pPr>
      <w:r>
        <w:rPr>
          <w:lang w:eastAsia="pt-BR"/>
        </w:rPr>
        <w:t xml:space="preserve">   6.      Orçamento detalhado do custo global da obra, fundamentado em quantitativos de serviços e fornecimentos propriamente avaliados</w:t>
      </w:r>
      <w:r>
        <w:rPr>
          <w:lang w:eastAsia="pt-BR"/>
        </w:rPr>
        <w:t>.]</w:t>
      </w:r>
    </w:p>
    <w:p w:rsidR="00A05C18" w:rsidRDefault="00A05C18" w:rsidP="00A05C18">
      <w:pPr>
        <w:pStyle w:val="comentrio"/>
        <w:rPr>
          <w:lang w:eastAsia="pt-BR"/>
        </w:rPr>
      </w:pPr>
    </w:p>
    <w:p w:rsidR="00A05C18" w:rsidRPr="004C707E" w:rsidRDefault="00A05C18" w:rsidP="00A05C18"/>
    <w:p w:rsidR="00A05C18" w:rsidRDefault="00A05C18" w:rsidP="005F2DAD">
      <w:pPr>
        <w:pStyle w:val="Ttulo2"/>
        <w:numPr>
          <w:ilvl w:val="1"/>
          <w:numId w:val="2"/>
        </w:numPr>
      </w:pPr>
      <w:bookmarkStart w:id="10" w:name="_Toc234112142"/>
      <w:r w:rsidRPr="009D727F">
        <w:t>Referências</w:t>
      </w:r>
      <w:bookmarkEnd w:id="10"/>
    </w:p>
    <w:p w:rsidR="009D727F" w:rsidRPr="009D727F" w:rsidRDefault="009D727F" w:rsidP="009D727F"/>
    <w:p w:rsidR="00A05C18" w:rsidRDefault="00A05C18" w:rsidP="00A05C18">
      <w:pPr>
        <w:pStyle w:val="comentrio"/>
      </w:pPr>
      <w:r>
        <w:t>[Esta subseção fornece uma lista completa de todos os documentos mencionados em qualquer outra parte deste Registro.]</w:t>
      </w:r>
    </w:p>
    <w:p w:rsidR="00A05C18" w:rsidRDefault="00A05C18" w:rsidP="00A05C18"/>
    <w:p w:rsidR="00A05C18" w:rsidRPr="00B12020" w:rsidRDefault="00A05C18" w:rsidP="00A05C18"/>
    <w:p w:rsidR="00A05C18" w:rsidRDefault="00A05C18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A05C18" w:rsidRDefault="00A05C18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1D1BD4" w:rsidRPr="00616992" w:rsidRDefault="001D1BD4" w:rsidP="00616992">
      <w:pPr>
        <w:pStyle w:val="Ttulo1"/>
        <w:rPr>
          <w:sz w:val="32"/>
          <w:szCs w:val="32"/>
        </w:rPr>
      </w:pPr>
      <w:bookmarkStart w:id="11" w:name="_Toc234111313"/>
      <w:bookmarkStart w:id="12" w:name="_Toc234111339"/>
      <w:bookmarkStart w:id="13" w:name="_Toc234111593"/>
      <w:bookmarkStart w:id="14" w:name="_Toc234111687"/>
      <w:bookmarkStart w:id="15" w:name="_Toc234112143"/>
      <w:r w:rsidRPr="00616992">
        <w:rPr>
          <w:sz w:val="32"/>
          <w:szCs w:val="32"/>
        </w:rPr>
        <w:lastRenderedPageBreak/>
        <w:t>Projeto Básico [IN nº 2/2008]</w:t>
      </w:r>
      <w:bookmarkEnd w:id="0"/>
      <w:bookmarkEnd w:id="11"/>
      <w:bookmarkEnd w:id="12"/>
      <w:bookmarkEnd w:id="13"/>
      <w:bookmarkEnd w:id="14"/>
      <w:bookmarkEnd w:id="15"/>
    </w:p>
    <w:p w:rsidR="00A05C18" w:rsidRDefault="00A05C18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DO PROJETO BÁSICO o</w:t>
      </w:r>
      <w:r>
        <w:t>u</w:t>
      </w:r>
      <w:r w:rsidRPr="001D1BD4">
        <w:t xml:space="preserve"> TERMO DE REFERÊNCIA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Art. 14. A contratação de prestação de serviços será sempre precedida da apresentação do Projeto Básico</w:t>
      </w:r>
      <w:r>
        <w:t xml:space="preserve"> </w:t>
      </w:r>
      <w:r w:rsidRPr="001D1BD4">
        <w:t>ou Termo de Referência, que deverá ser preferencialmente elaborado por técnico com qualificação</w:t>
      </w:r>
      <w:r>
        <w:t xml:space="preserve"> </w:t>
      </w:r>
      <w:r w:rsidRPr="001D1BD4">
        <w:t>profissional pertinente às especificidades do serviço a ser contratado, devendo o Projeto ou o Termo ser</w:t>
      </w:r>
      <w:r>
        <w:t xml:space="preserve"> </w:t>
      </w:r>
      <w:r w:rsidRPr="001D1BD4">
        <w:t xml:space="preserve">justificado e </w:t>
      </w:r>
      <w:r>
        <w:t>a</w:t>
      </w:r>
      <w:r w:rsidRPr="001D1BD4">
        <w:t>provado pela autoridade competente.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Art. 15. O Projeto Básico ou Termo de Referência deverá conter: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I - a justificativa da necessidade da contratação, dispondo, dentre outros, sobre:</w:t>
      </w:r>
    </w:p>
    <w:p w:rsidR="001D1BD4" w:rsidRPr="001D1BD4" w:rsidRDefault="00E23CCB" w:rsidP="001D1BD4">
      <w:pPr>
        <w:pStyle w:val="SemEspaamento"/>
        <w:ind w:left="708"/>
      </w:pPr>
      <w:r>
        <w:t>a)</w:t>
      </w:r>
      <w:r w:rsidR="001D1BD4" w:rsidRPr="001D1BD4">
        <w:t>motivação da contratação;</w:t>
      </w:r>
    </w:p>
    <w:p w:rsidR="001D1BD4" w:rsidRPr="001D1BD4" w:rsidRDefault="00E23CCB" w:rsidP="001D1BD4">
      <w:pPr>
        <w:pStyle w:val="SemEspaamento"/>
        <w:ind w:left="708"/>
      </w:pPr>
      <w:r>
        <w:t>b)</w:t>
      </w:r>
      <w:r w:rsidR="001D1BD4" w:rsidRPr="001D1BD4">
        <w:t>benefícios diretos e indiretos que resultarão da contratação;</w:t>
      </w:r>
    </w:p>
    <w:p w:rsidR="001D1BD4" w:rsidRPr="001D1BD4" w:rsidRDefault="00E23CCB" w:rsidP="001D1BD4">
      <w:pPr>
        <w:pStyle w:val="SemEspaamento"/>
        <w:ind w:left="708"/>
      </w:pPr>
      <w:r>
        <w:t>c)</w:t>
      </w:r>
      <w:r w:rsidR="001D1BD4" w:rsidRPr="001D1BD4">
        <w:t>conexão entre a contratação e o planejamento existente;</w:t>
      </w:r>
    </w:p>
    <w:p w:rsidR="001D1BD4" w:rsidRPr="001D1BD4" w:rsidRDefault="00E23CCB" w:rsidP="001D1BD4">
      <w:pPr>
        <w:pStyle w:val="SemEspaamento"/>
        <w:ind w:left="708"/>
      </w:pPr>
      <w:r>
        <w:t>d)</w:t>
      </w:r>
      <w:r w:rsidR="001D1BD4" w:rsidRPr="001D1BD4">
        <w:t>agrupamento de itens em lotes;</w:t>
      </w:r>
    </w:p>
    <w:p w:rsidR="001D1BD4" w:rsidRPr="001D1BD4" w:rsidRDefault="00E23CCB" w:rsidP="001D1BD4">
      <w:pPr>
        <w:pStyle w:val="SemEspaamento"/>
        <w:ind w:left="708"/>
      </w:pPr>
      <w:r>
        <w:t>c)</w:t>
      </w:r>
      <w:r w:rsidR="001D1BD4" w:rsidRPr="001D1BD4">
        <w:t>critérios ambientais adotados, se houver;</w:t>
      </w:r>
    </w:p>
    <w:p w:rsidR="001D1BD4" w:rsidRPr="001D1BD4" w:rsidRDefault="00E23CCB" w:rsidP="001D1BD4">
      <w:pPr>
        <w:pStyle w:val="SemEspaamento"/>
        <w:ind w:left="708"/>
      </w:pPr>
      <w:r>
        <w:t>d)</w:t>
      </w:r>
      <w:r w:rsidR="001D1BD4" w:rsidRPr="001D1BD4">
        <w:t>natureza do serviço, se continuado ou não;</w:t>
      </w:r>
    </w:p>
    <w:p w:rsidR="001D1BD4" w:rsidRPr="001D1BD4" w:rsidRDefault="00E23CCB" w:rsidP="001D1BD4">
      <w:pPr>
        <w:pStyle w:val="SemEspaamento"/>
        <w:ind w:left="708"/>
      </w:pPr>
      <w:r>
        <w:t>e)</w:t>
      </w:r>
      <w:r w:rsidR="001D1BD4" w:rsidRPr="001D1BD4">
        <w:t>inexigibilidade ou dispensa de licitação, se for o caso; e</w:t>
      </w:r>
    </w:p>
    <w:p w:rsidR="001D1BD4" w:rsidRPr="001D1BD4" w:rsidRDefault="00E23CCB" w:rsidP="001D1BD4">
      <w:pPr>
        <w:pStyle w:val="SemEspaamento"/>
        <w:ind w:left="708"/>
      </w:pPr>
      <w:r>
        <w:t>f)</w:t>
      </w:r>
      <w:r w:rsidR="001D1BD4" w:rsidRPr="001D1BD4">
        <w:t>referências a estudos preliminares, se houver.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II - o objetivo, identificando o que se pretende alcançar com a contratação;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III - o objeto da contratação, com os produtos e os resultados esperados com a execução do serviço;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IV - a descrição detalhada dos serviços a serem executados, e das metodologias de trabalho,</w:t>
      </w:r>
      <w:r>
        <w:t xml:space="preserve"> </w:t>
      </w:r>
      <w:r w:rsidRPr="001D1BD4">
        <w:t>nomeadamente a necessidade, a localidade, o horário de funcionamento e a disponibilidade orçamentária</w:t>
      </w:r>
      <w:r>
        <w:t xml:space="preserve"> </w:t>
      </w:r>
      <w:r w:rsidRPr="001D1BD4">
        <w:t>e financeira do órgão ou entidade, nos termos do art. 12 da Lei nº 8.666, de 1993, com a definição da</w:t>
      </w:r>
      <w:r>
        <w:t xml:space="preserve"> </w:t>
      </w:r>
      <w:r w:rsidRPr="001D1BD4">
        <w:t>rotina de execução, evidenciando:</w:t>
      </w:r>
    </w:p>
    <w:p w:rsidR="001D1BD4" w:rsidRPr="001D1BD4" w:rsidRDefault="00E23CCB" w:rsidP="001D1BD4">
      <w:pPr>
        <w:pStyle w:val="SemEspaamento"/>
        <w:ind w:left="708"/>
      </w:pPr>
      <w:r>
        <w:t>a)</w:t>
      </w:r>
      <w:r w:rsidR="001D1BD4" w:rsidRPr="001D1BD4">
        <w:t>freqüência e periodicidade;</w:t>
      </w:r>
    </w:p>
    <w:p w:rsidR="001D1BD4" w:rsidRPr="001D1BD4" w:rsidRDefault="00E23CCB" w:rsidP="001D1BD4">
      <w:pPr>
        <w:pStyle w:val="SemEspaamento"/>
        <w:ind w:left="708"/>
      </w:pPr>
      <w:r>
        <w:t>b)</w:t>
      </w:r>
      <w:r w:rsidR="001D1BD4" w:rsidRPr="001D1BD4">
        <w:t>ordem de execução;</w:t>
      </w:r>
    </w:p>
    <w:p w:rsidR="001D1BD4" w:rsidRPr="001D1BD4" w:rsidRDefault="00E23CCB" w:rsidP="001D1BD4">
      <w:pPr>
        <w:pStyle w:val="SemEspaamento"/>
        <w:ind w:left="708"/>
      </w:pPr>
      <w:r>
        <w:t>c)</w:t>
      </w:r>
      <w:r w:rsidR="001D1BD4" w:rsidRPr="001D1BD4">
        <w:t>procedimentos, metodologias e tecnologias a serem empregadas;</w:t>
      </w:r>
    </w:p>
    <w:p w:rsidR="001D1BD4" w:rsidRPr="001D1BD4" w:rsidRDefault="00E23CCB" w:rsidP="001D1BD4">
      <w:pPr>
        <w:pStyle w:val="SemEspaamento"/>
        <w:ind w:left="708"/>
      </w:pPr>
      <w:r>
        <w:t>d)</w:t>
      </w:r>
      <w:r w:rsidR="001D1BD4" w:rsidRPr="001D1BD4">
        <w:t>deveres e disciplina exigidos; e</w:t>
      </w:r>
    </w:p>
    <w:p w:rsidR="001D1BD4" w:rsidRPr="001D1BD4" w:rsidRDefault="00E23CCB" w:rsidP="001D1BD4">
      <w:pPr>
        <w:pStyle w:val="SemEspaamento"/>
        <w:ind w:left="708"/>
      </w:pPr>
      <w:r>
        <w:t>e)</w:t>
      </w:r>
      <w:r w:rsidR="001D1BD4" w:rsidRPr="001D1BD4">
        <w:t>demais especificações que se fizerem necessárias.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V - a justificativa da relação entre a demanda e a quantidade de serviço a ser contratada, acompanhada ,</w:t>
      </w:r>
      <w:r>
        <w:t xml:space="preserve"> </w:t>
      </w:r>
      <w:r w:rsidRPr="001D1BD4">
        <w:t>no que couber, dos critérios de medição utilizados, documentos comprobatórios, fotografias e outros</w:t>
      </w:r>
      <w:r>
        <w:t xml:space="preserve"> </w:t>
      </w:r>
      <w:r w:rsidRPr="001D1BD4">
        <w:t>meios probatórios que se fizerem necessários;</w:t>
      </w:r>
    </w:p>
    <w:p w:rsidR="001D1BD4" w:rsidRDefault="001D1BD4" w:rsidP="001D1BD4">
      <w:pPr>
        <w:pStyle w:val="SemEspaamento"/>
      </w:pPr>
    </w:p>
    <w:p w:rsidR="001D1BD4" w:rsidRDefault="001D1BD4" w:rsidP="001D1BD4">
      <w:pPr>
        <w:pStyle w:val="SemEspaamento"/>
      </w:pPr>
      <w:r w:rsidRPr="001D1BD4">
        <w:t>VI - o modelo de ordem de serviço, sempre que houver a previsão de que as demandas contratadas</w:t>
      </w:r>
      <w:r>
        <w:t xml:space="preserve"> </w:t>
      </w:r>
      <w:r w:rsidRPr="001D1BD4">
        <w:t>ocorrerão durante a execução contratual, e que deverá conter os seguintes campos:</w:t>
      </w:r>
    </w:p>
    <w:p w:rsidR="00E23CCB" w:rsidRPr="001D1BD4" w:rsidRDefault="00E23CCB" w:rsidP="001D1BD4">
      <w:pPr>
        <w:pStyle w:val="SemEspaamento"/>
      </w:pPr>
    </w:p>
    <w:p w:rsidR="001D1BD4" w:rsidRPr="001D1BD4" w:rsidRDefault="00D57805" w:rsidP="00E23CCB">
      <w:pPr>
        <w:pStyle w:val="SemEspaamento"/>
        <w:ind w:left="708"/>
      </w:pPr>
      <w:r>
        <w:t>a)</w:t>
      </w:r>
      <w:r w:rsidR="001D1BD4" w:rsidRPr="001D1BD4">
        <w:t>a definição e especificação dos serviços a serem realizados;</w:t>
      </w:r>
    </w:p>
    <w:p w:rsidR="001D1BD4" w:rsidRPr="001D1BD4" w:rsidRDefault="00D57805" w:rsidP="00E23CCB">
      <w:pPr>
        <w:pStyle w:val="SemEspaamento"/>
        <w:ind w:left="708"/>
      </w:pPr>
      <w:r>
        <w:t>b)</w:t>
      </w:r>
      <w:r w:rsidR="001D1BD4" w:rsidRPr="001D1BD4">
        <w:t>o volume de serviços solicitados e realizados, segundo as métricas definidas;</w:t>
      </w:r>
    </w:p>
    <w:p w:rsidR="001D1BD4" w:rsidRPr="001D1BD4" w:rsidRDefault="00D57805" w:rsidP="00E23CCB">
      <w:pPr>
        <w:pStyle w:val="SemEspaamento"/>
        <w:ind w:left="708"/>
      </w:pPr>
      <w:r>
        <w:t>c)</w:t>
      </w:r>
      <w:r w:rsidR="001D1BD4" w:rsidRPr="001D1BD4">
        <w:t>os resultados ou produtos solicitados e realizados;</w:t>
      </w:r>
    </w:p>
    <w:p w:rsidR="001D1BD4" w:rsidRPr="001D1BD4" w:rsidRDefault="001D1BD4" w:rsidP="00E23CCB">
      <w:pPr>
        <w:pStyle w:val="SemEspaamento"/>
        <w:ind w:left="708"/>
      </w:pPr>
      <w:r w:rsidRPr="001D1BD4">
        <w:t>d) prévia estimativa da quantidade de horas demandadas na realização da atividade designada, com a</w:t>
      </w:r>
      <w:r w:rsidR="00D57805">
        <w:t xml:space="preserve"> </w:t>
      </w:r>
      <w:r w:rsidRPr="001D1BD4">
        <w:t>respectiva metodologia utilizada para a sua quantificação, nos casos em que a única opção viável for a</w:t>
      </w:r>
      <w:r w:rsidR="00D57805">
        <w:t xml:space="preserve"> </w:t>
      </w:r>
      <w:r w:rsidRPr="001D1BD4">
        <w:t>remuneração de serviços por horas trabalhadas;</w:t>
      </w:r>
    </w:p>
    <w:p w:rsidR="001D1BD4" w:rsidRPr="001D1BD4" w:rsidRDefault="001D1BD4" w:rsidP="00E23CCB">
      <w:pPr>
        <w:pStyle w:val="SemEspaamento"/>
        <w:ind w:left="708"/>
      </w:pPr>
      <w:r w:rsidRPr="001D1BD4">
        <w:t>e) o cronograma de realização dos serviços, incluídas todas as tarefas significativas e seus respectivos</w:t>
      </w:r>
      <w:r w:rsidR="00D57805">
        <w:t xml:space="preserve"> </w:t>
      </w:r>
      <w:r w:rsidRPr="001D1BD4">
        <w:t>prazos;</w:t>
      </w:r>
    </w:p>
    <w:p w:rsidR="001D1BD4" w:rsidRPr="001D1BD4" w:rsidRDefault="001D1BD4" w:rsidP="00E23CCB">
      <w:pPr>
        <w:pStyle w:val="SemEspaamento"/>
        <w:ind w:left="708"/>
      </w:pPr>
      <w:r w:rsidRPr="001D1BD4">
        <w:t>f) custos da prestação do serviço, com a respectiva metodologia utilizada para a quantificação desse</w:t>
      </w:r>
      <w:r w:rsidR="00D57805">
        <w:t xml:space="preserve"> </w:t>
      </w:r>
      <w:r w:rsidRPr="001D1BD4">
        <w:t>valor;</w:t>
      </w:r>
    </w:p>
    <w:p w:rsidR="001D1BD4" w:rsidRPr="001D1BD4" w:rsidRDefault="001D1BD4" w:rsidP="00E23CCB">
      <w:pPr>
        <w:pStyle w:val="SemEspaamento"/>
        <w:ind w:left="708"/>
      </w:pPr>
      <w:r w:rsidRPr="001D1BD4">
        <w:t>g) a avaliação da qualidade dos serviços realizados e as justificativas do avaliador; e</w:t>
      </w:r>
    </w:p>
    <w:p w:rsidR="001D1BD4" w:rsidRPr="001D1BD4" w:rsidRDefault="001D1BD4" w:rsidP="00E23CCB">
      <w:pPr>
        <w:pStyle w:val="SemEspaamento"/>
        <w:ind w:left="708"/>
      </w:pPr>
      <w:r w:rsidRPr="001D1BD4">
        <w:t>h) a identificação dos responsáveis pela solicitação, pela avaliação da qualidade e pela ateste dos</w:t>
      </w:r>
      <w:r w:rsidR="00D57805">
        <w:t xml:space="preserve"> </w:t>
      </w:r>
      <w:r w:rsidRPr="001D1BD4">
        <w:t>serviços realizados, os quais não podem ter nenhum vínculo com a empresa contratada.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lastRenderedPageBreak/>
        <w:t>VII - a metodologia de avaliação da qualidade e aceite dos serviços executados;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VIII - a necessidade, quando for o caso, devidamente justificada, dos locais de execução dos serviços</w:t>
      </w:r>
      <w:r>
        <w:t xml:space="preserve"> </w:t>
      </w:r>
      <w:r w:rsidRPr="001D1BD4">
        <w:t>serem</w:t>
      </w:r>
      <w:r w:rsidR="00D57805">
        <w:t xml:space="preserve"> </w:t>
      </w:r>
      <w:r w:rsidRPr="001D1BD4">
        <w:t>vistoriados previamente pelos licitantes, devendo tal exigência, sempre que possível, ser</w:t>
      </w:r>
      <w:r>
        <w:t xml:space="preserve"> </w:t>
      </w:r>
      <w:r w:rsidR="00D57805">
        <w:t xml:space="preserve">substituída pela </w:t>
      </w:r>
      <w:r w:rsidRPr="001D1BD4">
        <w:t>divulgação de fotografias, plantas, desenhos técnicos e congêneres;</w:t>
      </w:r>
    </w:p>
    <w:p w:rsidR="00D57805" w:rsidRDefault="001D1BD4" w:rsidP="001D1BD4">
      <w:pPr>
        <w:pStyle w:val="SemEspaamento"/>
      </w:pPr>
      <w:r>
        <w:t xml:space="preserve"> </w:t>
      </w:r>
    </w:p>
    <w:p w:rsidR="001D1BD4" w:rsidRPr="001D1BD4" w:rsidRDefault="001D1BD4" w:rsidP="001D1BD4">
      <w:pPr>
        <w:pStyle w:val="SemEspaamento"/>
      </w:pPr>
      <w:r w:rsidRPr="001D1BD4">
        <w:t>IX - o enquadramento ou não do serviço contratado como serviço comum para fins do disposto no art. 4º</w:t>
      </w:r>
      <w:r>
        <w:t xml:space="preserve"> </w:t>
      </w:r>
      <w:r w:rsidRPr="001D1BD4">
        <w:t>do Decreto 5.450, de 31 de maio de 2005;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X - a unidade de medida utilizada para o tipo de serviço a ser contratado, incluindo as métricas, metas e</w:t>
      </w:r>
      <w:r>
        <w:t xml:space="preserve"> </w:t>
      </w:r>
      <w:r w:rsidRPr="001D1BD4">
        <w:t>formas de mensuração adotadas, dispostas, sempre que possível, na forma de Acordo de Níveis de</w:t>
      </w:r>
      <w:r w:rsidR="00E62173">
        <w:t xml:space="preserve"> </w:t>
      </w:r>
      <w:r w:rsidRPr="001D1BD4">
        <w:t>Serviços, conforme estabelece o inciso XVII deste artigo;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XI - o quantitativo da contratação;</w:t>
      </w:r>
    </w:p>
    <w:p w:rsidR="001D1BD4" w:rsidRDefault="001D1BD4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XII - o custo estimado da contratação, o valor máximo global e mensal estabelecido em decorrência da</w:t>
      </w:r>
      <w:r w:rsidR="00D57805">
        <w:t xml:space="preserve"> </w:t>
      </w:r>
      <w:r w:rsidRPr="001D1BD4">
        <w:t>identificação dos elementos que compõem o preço dos serviços, definido da seguinte forma:</w:t>
      </w:r>
    </w:p>
    <w:p w:rsidR="00D57805" w:rsidRDefault="00D57805" w:rsidP="001D1BD4">
      <w:pPr>
        <w:pStyle w:val="SemEspaamento"/>
      </w:pPr>
    </w:p>
    <w:p w:rsidR="001D1BD4" w:rsidRPr="001D1BD4" w:rsidRDefault="001D1BD4" w:rsidP="00E23CCB">
      <w:pPr>
        <w:pStyle w:val="SemEspaamento"/>
        <w:ind w:left="708"/>
      </w:pPr>
      <w:r w:rsidRPr="001D1BD4">
        <w:t>a) por meio do preenchimento da planilha de custos e formação de preços, observados os custos dos</w:t>
      </w:r>
      <w:r w:rsidR="00D57805">
        <w:t xml:space="preserve"> </w:t>
      </w:r>
      <w:r w:rsidRPr="001D1BD4">
        <w:t>itens referentes ao serviço, podendo ser motivadamente dispensada naquelas contratações em que a</w:t>
      </w:r>
      <w:r w:rsidR="00D57805">
        <w:t xml:space="preserve"> </w:t>
      </w:r>
      <w:r w:rsidRPr="001D1BD4">
        <w:t>natureza do seu objeto torne inviável ou desnecessário o detalhamento dos custos para aferição da</w:t>
      </w:r>
      <w:r w:rsidR="00D57805">
        <w:t xml:space="preserve"> </w:t>
      </w:r>
      <w:r w:rsidRPr="001D1BD4">
        <w:t>exeqüibilidade dos preços praticados; e</w:t>
      </w:r>
    </w:p>
    <w:p w:rsidR="001D1BD4" w:rsidRPr="001D1BD4" w:rsidRDefault="001D1BD4" w:rsidP="00E23CCB">
      <w:pPr>
        <w:pStyle w:val="SemEspaamento"/>
        <w:ind w:left="708"/>
      </w:pPr>
      <w:r w:rsidRPr="001D1BD4">
        <w:t>b) por meio de fundamentada pesquisa dos preços praticados no mercado em contratações similares; ou</w:t>
      </w:r>
      <w:r w:rsidR="00D57805">
        <w:t xml:space="preserve"> </w:t>
      </w:r>
      <w:r w:rsidRPr="001D1BD4">
        <w:t>ainda por meio da adoção de valores constantes de indicadores setoriais, tabelas de fabricantes, valores</w:t>
      </w:r>
      <w:r w:rsidR="00D57805">
        <w:t xml:space="preserve"> </w:t>
      </w:r>
      <w:r w:rsidRPr="001D1BD4">
        <w:t>oficiais de referência, tarifas públicas ou outros equivalentes, se for o caso.</w:t>
      </w:r>
    </w:p>
    <w:p w:rsidR="00D57805" w:rsidRDefault="00D57805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XIII - a quantidade estimada de deslocamentos e a necessidade de hospedagem dos empregados, com</w:t>
      </w:r>
      <w:r w:rsidR="00D57805">
        <w:t xml:space="preserve"> </w:t>
      </w:r>
      <w:r w:rsidRPr="001D1BD4">
        <w:t>as respectivas estimativas de despesa, nos casos em que a execução de serviços eventualmente venha a</w:t>
      </w:r>
      <w:r w:rsidR="00D57805">
        <w:t xml:space="preserve"> </w:t>
      </w:r>
      <w:r w:rsidRPr="001D1BD4">
        <w:t>ocorrer em localidades distintas da sede habitual da prestação do serviço;</w:t>
      </w:r>
    </w:p>
    <w:p w:rsidR="00D57805" w:rsidRDefault="00D57805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XIV - a produtividade de referência, quando cabível, ou seja, aquela considerada aceitável para a</w:t>
      </w:r>
      <w:r w:rsidR="00D57805">
        <w:t xml:space="preserve"> </w:t>
      </w:r>
      <w:r w:rsidRPr="001D1BD4">
        <w:t xml:space="preserve">execução do </w:t>
      </w:r>
      <w:r w:rsidR="00D57805">
        <w:t xml:space="preserve"> </w:t>
      </w:r>
      <w:r w:rsidRPr="001D1BD4">
        <w:t>serviço, sendo expressa pelo quantitativo físico do serviço na unidade de medida adotada,</w:t>
      </w:r>
      <w:r w:rsidR="00D57805">
        <w:t xml:space="preserve"> </w:t>
      </w:r>
      <w:r w:rsidRPr="001D1BD4">
        <w:t>levando-se em consideração, entre outras, as seguintes informações:</w:t>
      </w:r>
    </w:p>
    <w:p w:rsidR="00D57805" w:rsidRDefault="00D57805" w:rsidP="001D1BD4">
      <w:pPr>
        <w:pStyle w:val="SemEspaamento"/>
      </w:pPr>
    </w:p>
    <w:p w:rsidR="001D1BD4" w:rsidRPr="001D1BD4" w:rsidRDefault="00D57805" w:rsidP="00E23CCB">
      <w:pPr>
        <w:pStyle w:val="SemEspaamento"/>
        <w:ind w:left="708"/>
      </w:pPr>
      <w:r>
        <w:t>a)</w:t>
      </w:r>
      <w:r w:rsidR="001D1BD4" w:rsidRPr="001D1BD4">
        <w:t>rotinas de execução dos serviços;</w:t>
      </w:r>
    </w:p>
    <w:p w:rsidR="001D1BD4" w:rsidRPr="001D1BD4" w:rsidRDefault="00D57805" w:rsidP="00E23CCB">
      <w:pPr>
        <w:pStyle w:val="SemEspaamento"/>
        <w:ind w:left="708"/>
      </w:pPr>
      <w:r>
        <w:t>b)</w:t>
      </w:r>
      <w:r w:rsidR="001D1BD4" w:rsidRPr="001D1BD4">
        <w:t>quantidade e qualificação da mão-de-obra estimada para execução dos serviços;</w:t>
      </w:r>
    </w:p>
    <w:p w:rsidR="001D1BD4" w:rsidRPr="001D1BD4" w:rsidRDefault="00D57805" w:rsidP="00E23CCB">
      <w:pPr>
        <w:pStyle w:val="SemEspaamento"/>
        <w:ind w:left="708"/>
      </w:pPr>
      <w:r>
        <w:t>c)</w:t>
      </w:r>
      <w:r w:rsidR="001D1BD4" w:rsidRPr="001D1BD4">
        <w:t>relação do material adequado para a execução dos serviços com a respectiva especificação, podendo,</w:t>
      </w:r>
      <w:r>
        <w:t xml:space="preserve"> </w:t>
      </w:r>
      <w:r w:rsidR="001D1BD4" w:rsidRPr="001D1BD4">
        <w:t>quando necessário, ser indicada a marca, desde que acrescida da expressão "ou similar";</w:t>
      </w:r>
    </w:p>
    <w:p w:rsidR="001D1BD4" w:rsidRPr="001D1BD4" w:rsidRDefault="001D1BD4" w:rsidP="00E23CCB">
      <w:pPr>
        <w:pStyle w:val="SemEspaamento"/>
        <w:ind w:left="708"/>
      </w:pPr>
      <w:r w:rsidRPr="001D1BD4">
        <w:t>d) relação de máquinas, equipamentos e utensílios a serem utilizados; e</w:t>
      </w:r>
    </w:p>
    <w:p w:rsidR="001D1BD4" w:rsidRPr="001D1BD4" w:rsidRDefault="00D57805" w:rsidP="00E23CCB">
      <w:pPr>
        <w:pStyle w:val="SemEspaamento"/>
        <w:ind w:left="708"/>
      </w:pPr>
      <w:r>
        <w:t>e)</w:t>
      </w:r>
      <w:r w:rsidR="001D1BD4" w:rsidRPr="001D1BD4">
        <w:t>condições do local onde o serviço será realizado.</w:t>
      </w:r>
    </w:p>
    <w:p w:rsidR="00D57805" w:rsidRDefault="00D57805" w:rsidP="001D1BD4">
      <w:pPr>
        <w:pStyle w:val="SemEspaamento"/>
      </w:pPr>
    </w:p>
    <w:p w:rsidR="001D1BD4" w:rsidRDefault="001D1BD4" w:rsidP="001D1BD4">
      <w:pPr>
        <w:pStyle w:val="SemEspaamento"/>
      </w:pPr>
      <w:r w:rsidRPr="001D1BD4">
        <w:t>XV - condições que possam ajudar na identificação do quantitativo de pessoal e insumos necessários à</w:t>
      </w:r>
      <w:r w:rsidR="00D57805">
        <w:t xml:space="preserve"> </w:t>
      </w:r>
      <w:r w:rsidRPr="001D1BD4">
        <w:t>execução contratual, tais como:</w:t>
      </w:r>
    </w:p>
    <w:p w:rsidR="00E23CCB" w:rsidRPr="001D1BD4" w:rsidRDefault="00E23CCB" w:rsidP="001D1BD4">
      <w:pPr>
        <w:pStyle w:val="SemEspaamento"/>
      </w:pPr>
    </w:p>
    <w:p w:rsidR="001D1BD4" w:rsidRPr="001D1BD4" w:rsidRDefault="00E23CCB" w:rsidP="00E23CCB">
      <w:pPr>
        <w:pStyle w:val="SemEspaamento"/>
        <w:ind w:left="708"/>
      </w:pPr>
      <w:r>
        <w:t>a)</w:t>
      </w:r>
      <w:r w:rsidR="001D1BD4" w:rsidRPr="001D1BD4">
        <w:t>quantitativo de usuários;</w:t>
      </w:r>
    </w:p>
    <w:p w:rsidR="001D1BD4" w:rsidRPr="001D1BD4" w:rsidRDefault="00E23CCB" w:rsidP="00E23CCB">
      <w:pPr>
        <w:pStyle w:val="SemEspaamento"/>
        <w:ind w:left="708"/>
      </w:pPr>
      <w:r>
        <w:t>b)</w:t>
      </w:r>
      <w:r w:rsidR="001D1BD4" w:rsidRPr="001D1BD4">
        <w:t>horário de funcionamento do órgão e horário em que deverão ser prestados os serviços;</w:t>
      </w:r>
    </w:p>
    <w:p w:rsidR="001D1BD4" w:rsidRPr="001D1BD4" w:rsidRDefault="00E23CCB" w:rsidP="00E23CCB">
      <w:pPr>
        <w:pStyle w:val="SemEspaamento"/>
        <w:ind w:left="708"/>
      </w:pPr>
      <w:r>
        <w:t>c)</w:t>
      </w:r>
      <w:r w:rsidR="001D1BD4" w:rsidRPr="001D1BD4">
        <w:t>restrições de área, identificando questões de segurança institucional, privacidade, segurança, medicina</w:t>
      </w:r>
      <w:r w:rsidR="00D57805">
        <w:t xml:space="preserve"> </w:t>
      </w:r>
      <w:r w:rsidR="001D1BD4" w:rsidRPr="001D1BD4">
        <w:t>do trabalho, dentre outras;</w:t>
      </w:r>
    </w:p>
    <w:p w:rsidR="001D1BD4" w:rsidRPr="001D1BD4" w:rsidRDefault="00E23CCB" w:rsidP="00E23CCB">
      <w:pPr>
        <w:pStyle w:val="SemEspaamento"/>
        <w:ind w:left="708"/>
      </w:pPr>
      <w:r>
        <w:t>d)</w:t>
      </w:r>
      <w:r w:rsidR="001D1BD4" w:rsidRPr="001D1BD4">
        <w:t>disposições normativas internas; e</w:t>
      </w:r>
    </w:p>
    <w:p w:rsidR="001D1BD4" w:rsidRPr="001D1BD4" w:rsidRDefault="00E23CCB" w:rsidP="00E23CCB">
      <w:pPr>
        <w:pStyle w:val="SemEspaamento"/>
        <w:ind w:left="708"/>
      </w:pPr>
      <w:r>
        <w:t>e)</w:t>
      </w:r>
      <w:r w:rsidR="001D1BD4" w:rsidRPr="001D1BD4">
        <w:t>instalações, especificando-se a disposição de mobiliário e equipamentos, arquitetura, decoração, dentre</w:t>
      </w:r>
      <w:r w:rsidR="00D57805">
        <w:t xml:space="preserve"> </w:t>
      </w:r>
      <w:r w:rsidR="001D1BD4" w:rsidRPr="001D1BD4">
        <w:t>outras.</w:t>
      </w:r>
    </w:p>
    <w:p w:rsidR="00D57805" w:rsidRDefault="00D57805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XVI - deveres da contratada e da contratante;</w:t>
      </w:r>
    </w:p>
    <w:p w:rsidR="00D57805" w:rsidRDefault="00D57805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XVII - o Acordo de Níveis de Serviços, sempre que possível, conforme modelo previsto no anexo II,</w:t>
      </w:r>
      <w:r w:rsidR="00D57805">
        <w:t xml:space="preserve"> </w:t>
      </w:r>
      <w:r w:rsidRPr="001D1BD4">
        <w:t>deverá conter:</w:t>
      </w:r>
    </w:p>
    <w:p w:rsidR="00D57805" w:rsidRDefault="00D57805" w:rsidP="001D1BD4">
      <w:pPr>
        <w:pStyle w:val="SemEspaamento"/>
      </w:pPr>
    </w:p>
    <w:p w:rsidR="001D1BD4" w:rsidRPr="001D1BD4" w:rsidRDefault="001D1BD4" w:rsidP="00E23CCB">
      <w:pPr>
        <w:pStyle w:val="SemEspaamento"/>
        <w:ind w:left="708"/>
      </w:pPr>
      <w:r w:rsidRPr="001D1BD4">
        <w:t>a) os procedimentos de fiscalização e de gestão da qualidade do serviço, especificando-se os indicadores</w:t>
      </w:r>
      <w:r w:rsidR="00D57805">
        <w:t xml:space="preserve"> </w:t>
      </w:r>
      <w:r w:rsidRPr="001D1BD4">
        <w:t xml:space="preserve">e </w:t>
      </w:r>
      <w:r w:rsidR="00E23CCB">
        <w:t>i</w:t>
      </w:r>
      <w:r w:rsidRPr="001D1BD4">
        <w:t>nstrumentos de medição que serão adotados pelo órgão ou entidade contratante;</w:t>
      </w:r>
    </w:p>
    <w:p w:rsidR="001D1BD4" w:rsidRPr="001D1BD4" w:rsidRDefault="001D1BD4" w:rsidP="00E23CCB">
      <w:pPr>
        <w:pStyle w:val="SemEspaamento"/>
        <w:ind w:left="708"/>
      </w:pPr>
      <w:r w:rsidRPr="001D1BD4">
        <w:t>b) os registros, controles e informações que deverão ser prestados pela contratada; e</w:t>
      </w:r>
    </w:p>
    <w:p w:rsidR="001D1BD4" w:rsidRPr="001D1BD4" w:rsidRDefault="001D1BD4" w:rsidP="00E23CCB">
      <w:pPr>
        <w:pStyle w:val="SemEspaamento"/>
        <w:ind w:left="708"/>
      </w:pPr>
      <w:r w:rsidRPr="001D1BD4">
        <w:t>c) as respectivas adequações de pagamento pelo não atendimento das metas estabelecidas.</w:t>
      </w:r>
    </w:p>
    <w:p w:rsidR="00D57805" w:rsidRDefault="00D57805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XVIII - critérios técnicos de julgamento das propostas, nas licitações do tipo técnica e preço, conforme</w:t>
      </w:r>
      <w:r w:rsidR="00D57805">
        <w:t xml:space="preserve"> </w:t>
      </w:r>
      <w:r w:rsidRPr="001D1BD4">
        <w:t>estabelecido pelo artigo 46 da Lei nº 8.666, de 21 de junho de 1993.</w:t>
      </w:r>
    </w:p>
    <w:p w:rsidR="00D57805" w:rsidRDefault="00D57805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Art. 16. Na definição do serviço a ser contratado, são vedadas as especificações que:</w:t>
      </w:r>
    </w:p>
    <w:p w:rsidR="001D1BD4" w:rsidRPr="001D1BD4" w:rsidRDefault="001D1BD4" w:rsidP="001D1BD4">
      <w:pPr>
        <w:pStyle w:val="SemEspaamento"/>
      </w:pPr>
      <w:r w:rsidRPr="001D1BD4">
        <w:t>I - sejam restritivas, limitando a competitividade do certame, exceto quando necessárias e justificadas</w:t>
      </w:r>
      <w:r w:rsidR="00D57805">
        <w:t xml:space="preserve"> </w:t>
      </w:r>
      <w:r w:rsidRPr="001D1BD4">
        <w:t>pelo órgão contratante;</w:t>
      </w:r>
    </w:p>
    <w:p w:rsidR="001D1BD4" w:rsidRPr="001D1BD4" w:rsidRDefault="001D1BD4" w:rsidP="001D1BD4">
      <w:pPr>
        <w:pStyle w:val="SemEspaamento"/>
      </w:pPr>
      <w:r w:rsidRPr="001D1BD4">
        <w:t>II - direcionem ou favoreçam a contratação de um prestador específico;</w:t>
      </w:r>
    </w:p>
    <w:p w:rsidR="001D1BD4" w:rsidRPr="001D1BD4" w:rsidRDefault="001D1BD4" w:rsidP="001D1BD4">
      <w:pPr>
        <w:pStyle w:val="SemEspaamento"/>
      </w:pPr>
      <w:r w:rsidRPr="001D1BD4">
        <w:t>III - não representem a real demanda de desempenho do órgão ou entidade, não se admitindo</w:t>
      </w:r>
      <w:r w:rsidR="00E23CCB">
        <w:t xml:space="preserve"> </w:t>
      </w:r>
      <w:r w:rsidRPr="001D1BD4">
        <w:t>especificações que não agreguem valor ao resultado da contratação ou sejam superiores às necessidades</w:t>
      </w:r>
      <w:r w:rsidR="00E23CCB">
        <w:t xml:space="preserve"> </w:t>
      </w:r>
      <w:r w:rsidRPr="001D1BD4">
        <w:t>do órgão; e</w:t>
      </w:r>
    </w:p>
    <w:p w:rsidR="001D1BD4" w:rsidRPr="001D1BD4" w:rsidRDefault="001D1BD4" w:rsidP="001D1BD4">
      <w:pPr>
        <w:pStyle w:val="SemEspaamento"/>
      </w:pPr>
      <w:r w:rsidRPr="001D1BD4">
        <w:t>IV - estejam defasadas tecnológica e/ou metodologicamente ou com preços superiores aos de serviços</w:t>
      </w:r>
      <w:r w:rsidR="00E23CCB">
        <w:t xml:space="preserve"> </w:t>
      </w:r>
      <w:r w:rsidRPr="001D1BD4">
        <w:t>com melhor desempenho.</w:t>
      </w:r>
    </w:p>
    <w:p w:rsidR="00E23CCB" w:rsidRDefault="00E23CCB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Art. 17. Quando for adotado o Acordo de Níveis de Serviços, este deverá ser elaborado com base nas</w:t>
      </w:r>
      <w:r w:rsidR="00E23CCB">
        <w:t xml:space="preserve"> </w:t>
      </w:r>
      <w:r w:rsidRPr="001D1BD4">
        <w:t>seguintes diretrizes:</w:t>
      </w:r>
    </w:p>
    <w:p w:rsidR="00E23CCB" w:rsidRDefault="00E23CCB" w:rsidP="001D1BD4">
      <w:pPr>
        <w:pStyle w:val="SemEspaamento"/>
      </w:pPr>
    </w:p>
    <w:p w:rsidR="001D1BD4" w:rsidRPr="001D1BD4" w:rsidRDefault="001D1BD4" w:rsidP="001D1BD4">
      <w:pPr>
        <w:pStyle w:val="SemEspaamento"/>
      </w:pPr>
      <w:r w:rsidRPr="001D1BD4">
        <w:t>I - antes da construção dos indicadores, os serviços e resultados esperados já deverão estar claramente</w:t>
      </w:r>
      <w:r w:rsidR="00E23CCB">
        <w:t xml:space="preserve"> </w:t>
      </w:r>
      <w:r w:rsidRPr="001D1BD4">
        <w:t>definidos e identificados, diferenciando-se as atividades consideradas críticas das secundárias;</w:t>
      </w:r>
    </w:p>
    <w:p w:rsidR="001D1BD4" w:rsidRPr="001D1BD4" w:rsidRDefault="001D1BD4" w:rsidP="001D1BD4">
      <w:pPr>
        <w:pStyle w:val="SemEspaamento"/>
      </w:pPr>
      <w:r w:rsidRPr="001D1BD4">
        <w:t>II - os indicadores e metas devem ser construídos de forma sistemática, de modo que possam contribuir</w:t>
      </w:r>
      <w:r w:rsidR="00E23CCB">
        <w:t xml:space="preserve"> </w:t>
      </w:r>
      <w:r w:rsidRPr="001D1BD4">
        <w:t>cumulativamente para o resultado global do serviço e não interfiram negativamente uns nos outros;</w:t>
      </w:r>
    </w:p>
    <w:p w:rsidR="001D1BD4" w:rsidRPr="001D1BD4" w:rsidRDefault="001D1BD4" w:rsidP="001D1BD4">
      <w:pPr>
        <w:pStyle w:val="SemEspaamento"/>
      </w:pPr>
      <w:r w:rsidRPr="001D1BD4">
        <w:t>III - os indicadores devem refletir fatores que estão sob controle do prestador do serviço;</w:t>
      </w:r>
    </w:p>
    <w:p w:rsidR="001D1BD4" w:rsidRPr="001D1BD4" w:rsidRDefault="001D1BD4" w:rsidP="001D1BD4">
      <w:pPr>
        <w:pStyle w:val="SemEspaamento"/>
      </w:pPr>
      <w:r w:rsidRPr="001D1BD4">
        <w:t>IV - previsão de fatores, fora do controle do prestador, que possam interferir no atendimento das metas;</w:t>
      </w:r>
    </w:p>
    <w:p w:rsidR="001D1BD4" w:rsidRPr="001D1BD4" w:rsidRDefault="001D1BD4" w:rsidP="001D1BD4">
      <w:pPr>
        <w:pStyle w:val="SemEspaamento"/>
      </w:pPr>
      <w:r w:rsidRPr="001D1BD4">
        <w:t>V - os indicadores deverão ser objetivamente mensuráveis, de preferência facilmente coletáveis,</w:t>
      </w:r>
      <w:r w:rsidR="00E23CCB">
        <w:t xml:space="preserve"> </w:t>
      </w:r>
      <w:r w:rsidRPr="001D1BD4">
        <w:t>relevantes e adequados à natureza e características do serviço e compreensíveis.</w:t>
      </w:r>
    </w:p>
    <w:p w:rsidR="001D1BD4" w:rsidRPr="001D1BD4" w:rsidRDefault="001D1BD4" w:rsidP="001D1BD4">
      <w:pPr>
        <w:pStyle w:val="SemEspaamento"/>
      </w:pPr>
      <w:r w:rsidRPr="001D1BD4">
        <w:t>VI - evitar indicadores complexos ou sobrepostos;</w:t>
      </w:r>
    </w:p>
    <w:p w:rsidR="001D1BD4" w:rsidRPr="001D1BD4" w:rsidRDefault="001D1BD4" w:rsidP="001D1BD4">
      <w:pPr>
        <w:pStyle w:val="SemEspaamento"/>
      </w:pPr>
      <w:r w:rsidRPr="001D1BD4">
        <w:t>VII - as metas devem ser realistas e definidas com base em uma comparação apropriada;</w:t>
      </w:r>
    </w:p>
    <w:p w:rsidR="001D1BD4" w:rsidRDefault="001D1BD4" w:rsidP="001D1BD4">
      <w:pPr>
        <w:pStyle w:val="SemEspaamento"/>
      </w:pPr>
      <w:r w:rsidRPr="001D1BD4">
        <w:t>VIII - os pagamentos deverão ser proporcionais ao atendimento das metas estabelecidas no ANS,</w:t>
      </w:r>
      <w:r w:rsidR="00E23CCB">
        <w:t xml:space="preserve"> </w:t>
      </w:r>
      <w:r w:rsidRPr="001D1BD4">
        <w:t>observando-se o seguinte:</w:t>
      </w:r>
    </w:p>
    <w:p w:rsidR="001D1BD4" w:rsidRPr="001D1BD4" w:rsidRDefault="001D1BD4" w:rsidP="00E23CCB">
      <w:pPr>
        <w:pStyle w:val="SemEspaamento"/>
        <w:ind w:left="708"/>
      </w:pPr>
      <w:r w:rsidRPr="001D1BD4">
        <w:t>a) as adequações nos pagamentos estarão limitadas a uma faixa específica de tolerância, abaixo da qual</w:t>
      </w:r>
      <w:r w:rsidR="00E23CCB">
        <w:t xml:space="preserve"> </w:t>
      </w:r>
      <w:r w:rsidRPr="001D1BD4">
        <w:t>o fornecedor se sujeitará às sanções legais; e</w:t>
      </w:r>
    </w:p>
    <w:p w:rsidR="001D1BD4" w:rsidRPr="001D1BD4" w:rsidRDefault="001D1BD4" w:rsidP="00E23CCB">
      <w:pPr>
        <w:pStyle w:val="SemEspaamento"/>
        <w:ind w:left="708"/>
      </w:pPr>
      <w:r w:rsidRPr="001D1BD4">
        <w:t>b) na determinação da faixa de tolerância de que trata a alínea anterior, considerar-se-á a relevância da</w:t>
      </w:r>
      <w:r w:rsidR="00E23CCB">
        <w:t xml:space="preserve"> </w:t>
      </w:r>
      <w:r w:rsidRPr="001D1BD4">
        <w:t>atividade, com menor ou nenhuma margem de tolerância para as atividades consideradas críticas.</w:t>
      </w:r>
    </w:p>
    <w:p w:rsidR="0086207D" w:rsidRPr="001D1BD4" w:rsidRDefault="001D1BD4" w:rsidP="001D1BD4">
      <w:pPr>
        <w:pStyle w:val="SemEspaamento"/>
        <w:rPr>
          <w:bCs/>
        </w:rPr>
      </w:pPr>
      <w:r w:rsidRPr="001D1BD4">
        <w:t>IX - o não atendimento das metas, por ínfima ou pequena diferença, em indicadores não críticos, poderá</w:t>
      </w:r>
      <w:r w:rsidR="00E23CCB">
        <w:t xml:space="preserve"> </w:t>
      </w:r>
      <w:r w:rsidRPr="001D1BD4">
        <w:t>ser objeto apenas de notificação nas primeiras ocorrências, de modo a não comprometer a continuidade</w:t>
      </w:r>
      <w:r w:rsidR="00E23CCB">
        <w:t xml:space="preserve"> </w:t>
      </w:r>
      <w:r w:rsidRPr="001D1BD4">
        <w:t>da contratação.</w:t>
      </w:r>
    </w:p>
    <w:sectPr w:rsidR="0086207D" w:rsidRPr="001D1BD4" w:rsidSect="00A572E6">
      <w:footerReference w:type="default" r:id="rId8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AD" w:rsidRDefault="005F2DAD" w:rsidP="00132347">
      <w:pPr>
        <w:spacing w:after="0" w:line="240" w:lineRule="auto"/>
      </w:pPr>
      <w:r>
        <w:separator/>
      </w:r>
    </w:p>
  </w:endnote>
  <w:endnote w:type="continuationSeparator" w:id="1">
    <w:p w:rsidR="005F2DAD" w:rsidRDefault="005F2DAD" w:rsidP="0013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5469"/>
      <w:docPartObj>
        <w:docPartGallery w:val="Page Numbers (Bottom of Page)"/>
        <w:docPartUnique/>
      </w:docPartObj>
    </w:sdtPr>
    <w:sdtContent>
      <w:p w:rsidR="00C654C8" w:rsidRDefault="00C654C8">
        <w:pPr>
          <w:pStyle w:val="Rodap"/>
          <w:jc w:val="right"/>
        </w:pPr>
        <w:fldSimple w:instr=" PAGE   \* MERGEFORMAT ">
          <w:r w:rsidR="009D727F">
            <w:rPr>
              <w:noProof/>
            </w:rPr>
            <w:t>1</w:t>
          </w:r>
        </w:fldSimple>
      </w:p>
    </w:sdtContent>
  </w:sdt>
  <w:p w:rsidR="00C654C8" w:rsidRDefault="00C654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AD" w:rsidRDefault="005F2DAD" w:rsidP="00132347">
      <w:pPr>
        <w:spacing w:after="0" w:line="240" w:lineRule="auto"/>
      </w:pPr>
      <w:r>
        <w:separator/>
      </w:r>
    </w:p>
  </w:footnote>
  <w:footnote w:type="continuationSeparator" w:id="1">
    <w:p w:rsidR="005F2DAD" w:rsidRDefault="005F2DAD" w:rsidP="0013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7037"/>
    <w:multiLevelType w:val="hybridMultilevel"/>
    <w:tmpl w:val="E12CE66C"/>
    <w:lvl w:ilvl="0" w:tplc="18560D1A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5A0F"/>
    <w:multiLevelType w:val="hybridMultilevel"/>
    <w:tmpl w:val="1A3EFD42"/>
    <w:lvl w:ilvl="0" w:tplc="6BE486EA">
      <w:start w:val="4"/>
      <w:numFmt w:val="decimal"/>
      <w:pStyle w:val="Ttulo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C31EA1"/>
    <w:multiLevelType w:val="multilevel"/>
    <w:tmpl w:val="6FFC7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64474B32"/>
    <w:multiLevelType w:val="multilevel"/>
    <w:tmpl w:val="E7EAA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EFB48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C65"/>
    <w:rsid w:val="0000033B"/>
    <w:rsid w:val="00001242"/>
    <w:rsid w:val="000023ED"/>
    <w:rsid w:val="0000279F"/>
    <w:rsid w:val="00011C1C"/>
    <w:rsid w:val="000205A5"/>
    <w:rsid w:val="000258DE"/>
    <w:rsid w:val="000274EB"/>
    <w:rsid w:val="000336BD"/>
    <w:rsid w:val="0003646F"/>
    <w:rsid w:val="0004705F"/>
    <w:rsid w:val="000552F9"/>
    <w:rsid w:val="00071F3C"/>
    <w:rsid w:val="000765D9"/>
    <w:rsid w:val="00081590"/>
    <w:rsid w:val="000A34D3"/>
    <w:rsid w:val="000A5668"/>
    <w:rsid w:val="000D22A2"/>
    <w:rsid w:val="000E140D"/>
    <w:rsid w:val="000F1150"/>
    <w:rsid w:val="000F7F4E"/>
    <w:rsid w:val="00101892"/>
    <w:rsid w:val="001047F7"/>
    <w:rsid w:val="00125A93"/>
    <w:rsid w:val="00127225"/>
    <w:rsid w:val="00132347"/>
    <w:rsid w:val="00132B0B"/>
    <w:rsid w:val="001340FE"/>
    <w:rsid w:val="00146794"/>
    <w:rsid w:val="00154019"/>
    <w:rsid w:val="0015516F"/>
    <w:rsid w:val="001563DF"/>
    <w:rsid w:val="0016365D"/>
    <w:rsid w:val="0017549D"/>
    <w:rsid w:val="0017592D"/>
    <w:rsid w:val="001862C8"/>
    <w:rsid w:val="00190D2C"/>
    <w:rsid w:val="0019656A"/>
    <w:rsid w:val="001B199E"/>
    <w:rsid w:val="001B2FBD"/>
    <w:rsid w:val="001C0FF6"/>
    <w:rsid w:val="001C71AD"/>
    <w:rsid w:val="001D0E2C"/>
    <w:rsid w:val="001D1BD4"/>
    <w:rsid w:val="0020332C"/>
    <w:rsid w:val="002070D7"/>
    <w:rsid w:val="002135EA"/>
    <w:rsid w:val="0022060D"/>
    <w:rsid w:val="002264DD"/>
    <w:rsid w:val="00231978"/>
    <w:rsid w:val="00232043"/>
    <w:rsid w:val="00233D64"/>
    <w:rsid w:val="00234E19"/>
    <w:rsid w:val="00256C59"/>
    <w:rsid w:val="002602AE"/>
    <w:rsid w:val="00263633"/>
    <w:rsid w:val="00270533"/>
    <w:rsid w:val="00273C5D"/>
    <w:rsid w:val="00290DD1"/>
    <w:rsid w:val="00294062"/>
    <w:rsid w:val="002A0D5B"/>
    <w:rsid w:val="002B2512"/>
    <w:rsid w:val="002B3308"/>
    <w:rsid w:val="002C2F40"/>
    <w:rsid w:val="002D22DB"/>
    <w:rsid w:val="002D35CA"/>
    <w:rsid w:val="002D6078"/>
    <w:rsid w:val="002D7428"/>
    <w:rsid w:val="002E4F2F"/>
    <w:rsid w:val="003055E8"/>
    <w:rsid w:val="003139EC"/>
    <w:rsid w:val="00327C65"/>
    <w:rsid w:val="00331320"/>
    <w:rsid w:val="00331647"/>
    <w:rsid w:val="00336BF2"/>
    <w:rsid w:val="00337E59"/>
    <w:rsid w:val="00341969"/>
    <w:rsid w:val="003514E8"/>
    <w:rsid w:val="003533D3"/>
    <w:rsid w:val="003538C8"/>
    <w:rsid w:val="0035664B"/>
    <w:rsid w:val="00360F2A"/>
    <w:rsid w:val="0037216C"/>
    <w:rsid w:val="00372AAE"/>
    <w:rsid w:val="00375C00"/>
    <w:rsid w:val="00386932"/>
    <w:rsid w:val="00386961"/>
    <w:rsid w:val="00391DEB"/>
    <w:rsid w:val="0039742B"/>
    <w:rsid w:val="003A6C3B"/>
    <w:rsid w:val="003B0E85"/>
    <w:rsid w:val="003C1F23"/>
    <w:rsid w:val="003D37A2"/>
    <w:rsid w:val="003D7A23"/>
    <w:rsid w:val="003E0627"/>
    <w:rsid w:val="003E2CF7"/>
    <w:rsid w:val="003F2BA4"/>
    <w:rsid w:val="003F5075"/>
    <w:rsid w:val="003F6936"/>
    <w:rsid w:val="004032E4"/>
    <w:rsid w:val="00406005"/>
    <w:rsid w:val="00406982"/>
    <w:rsid w:val="004071B3"/>
    <w:rsid w:val="0042170A"/>
    <w:rsid w:val="004368DB"/>
    <w:rsid w:val="0046019A"/>
    <w:rsid w:val="00461387"/>
    <w:rsid w:val="00463BB6"/>
    <w:rsid w:val="00480798"/>
    <w:rsid w:val="0049124A"/>
    <w:rsid w:val="004A3A66"/>
    <w:rsid w:val="004B3EE7"/>
    <w:rsid w:val="004B5192"/>
    <w:rsid w:val="004C1D97"/>
    <w:rsid w:val="004C3A5B"/>
    <w:rsid w:val="004C4A5B"/>
    <w:rsid w:val="004C54FA"/>
    <w:rsid w:val="004C670A"/>
    <w:rsid w:val="004C7409"/>
    <w:rsid w:val="004F051C"/>
    <w:rsid w:val="004F57A2"/>
    <w:rsid w:val="0051168B"/>
    <w:rsid w:val="00516419"/>
    <w:rsid w:val="0053495B"/>
    <w:rsid w:val="005365D6"/>
    <w:rsid w:val="005437C7"/>
    <w:rsid w:val="00543BBD"/>
    <w:rsid w:val="0055091B"/>
    <w:rsid w:val="005612E2"/>
    <w:rsid w:val="00562539"/>
    <w:rsid w:val="00566077"/>
    <w:rsid w:val="005719B9"/>
    <w:rsid w:val="00571CB6"/>
    <w:rsid w:val="0059073C"/>
    <w:rsid w:val="005A02C5"/>
    <w:rsid w:val="005D0693"/>
    <w:rsid w:val="005D12D2"/>
    <w:rsid w:val="005E00C7"/>
    <w:rsid w:val="005E779F"/>
    <w:rsid w:val="005F1FAC"/>
    <w:rsid w:val="005F2DAD"/>
    <w:rsid w:val="005F4EE8"/>
    <w:rsid w:val="005F6879"/>
    <w:rsid w:val="00606F8A"/>
    <w:rsid w:val="00616992"/>
    <w:rsid w:val="006206B7"/>
    <w:rsid w:val="006237F5"/>
    <w:rsid w:val="006341C6"/>
    <w:rsid w:val="0066005E"/>
    <w:rsid w:val="0066362E"/>
    <w:rsid w:val="00681B4D"/>
    <w:rsid w:val="0069441C"/>
    <w:rsid w:val="00694BF5"/>
    <w:rsid w:val="006A20DA"/>
    <w:rsid w:val="006A3F20"/>
    <w:rsid w:val="006B703D"/>
    <w:rsid w:val="006C4986"/>
    <w:rsid w:val="006C5EB8"/>
    <w:rsid w:val="006D090A"/>
    <w:rsid w:val="006D1F35"/>
    <w:rsid w:val="006E3ADF"/>
    <w:rsid w:val="007004C8"/>
    <w:rsid w:val="0070505D"/>
    <w:rsid w:val="0072311D"/>
    <w:rsid w:val="0072678E"/>
    <w:rsid w:val="0072771A"/>
    <w:rsid w:val="00742016"/>
    <w:rsid w:val="0074464F"/>
    <w:rsid w:val="00746321"/>
    <w:rsid w:val="00751BC2"/>
    <w:rsid w:val="00772961"/>
    <w:rsid w:val="00774D79"/>
    <w:rsid w:val="00784121"/>
    <w:rsid w:val="00786F0A"/>
    <w:rsid w:val="00787AEC"/>
    <w:rsid w:val="00794C4E"/>
    <w:rsid w:val="007A1C6F"/>
    <w:rsid w:val="007A2859"/>
    <w:rsid w:val="007A327C"/>
    <w:rsid w:val="007D2FDB"/>
    <w:rsid w:val="007D4E51"/>
    <w:rsid w:val="007E5C57"/>
    <w:rsid w:val="007F5561"/>
    <w:rsid w:val="007F5CAF"/>
    <w:rsid w:val="00811A1D"/>
    <w:rsid w:val="00816E2E"/>
    <w:rsid w:val="008309E1"/>
    <w:rsid w:val="00835E8F"/>
    <w:rsid w:val="00836AC6"/>
    <w:rsid w:val="0083766B"/>
    <w:rsid w:val="008504F5"/>
    <w:rsid w:val="00854438"/>
    <w:rsid w:val="00861230"/>
    <w:rsid w:val="0086207D"/>
    <w:rsid w:val="008645E8"/>
    <w:rsid w:val="008654A2"/>
    <w:rsid w:val="00874301"/>
    <w:rsid w:val="00876B7C"/>
    <w:rsid w:val="00881A32"/>
    <w:rsid w:val="00893977"/>
    <w:rsid w:val="008D249E"/>
    <w:rsid w:val="008D3C28"/>
    <w:rsid w:val="008E005E"/>
    <w:rsid w:val="008E64D6"/>
    <w:rsid w:val="00904857"/>
    <w:rsid w:val="0091536A"/>
    <w:rsid w:val="0092513B"/>
    <w:rsid w:val="00925D1D"/>
    <w:rsid w:val="0092684E"/>
    <w:rsid w:val="00927A48"/>
    <w:rsid w:val="00936542"/>
    <w:rsid w:val="0094757A"/>
    <w:rsid w:val="0095651E"/>
    <w:rsid w:val="00960F33"/>
    <w:rsid w:val="0097716C"/>
    <w:rsid w:val="00995D4D"/>
    <w:rsid w:val="009A05D1"/>
    <w:rsid w:val="009A1920"/>
    <w:rsid w:val="009A2D99"/>
    <w:rsid w:val="009A5A08"/>
    <w:rsid w:val="009B77E8"/>
    <w:rsid w:val="009C4EFB"/>
    <w:rsid w:val="009D727F"/>
    <w:rsid w:val="009F0094"/>
    <w:rsid w:val="009F4FF3"/>
    <w:rsid w:val="00A00DF2"/>
    <w:rsid w:val="00A03CF2"/>
    <w:rsid w:val="00A050D4"/>
    <w:rsid w:val="00A05C18"/>
    <w:rsid w:val="00A10896"/>
    <w:rsid w:val="00A10FFE"/>
    <w:rsid w:val="00A17719"/>
    <w:rsid w:val="00A17E7C"/>
    <w:rsid w:val="00A206D7"/>
    <w:rsid w:val="00A21B66"/>
    <w:rsid w:val="00A32353"/>
    <w:rsid w:val="00A4104D"/>
    <w:rsid w:val="00A44FC3"/>
    <w:rsid w:val="00A466E3"/>
    <w:rsid w:val="00A50353"/>
    <w:rsid w:val="00A50A89"/>
    <w:rsid w:val="00A50BB0"/>
    <w:rsid w:val="00A51D78"/>
    <w:rsid w:val="00A572E6"/>
    <w:rsid w:val="00A70FD6"/>
    <w:rsid w:val="00A80E71"/>
    <w:rsid w:val="00A84BB6"/>
    <w:rsid w:val="00A866FA"/>
    <w:rsid w:val="00A87A40"/>
    <w:rsid w:val="00A908CE"/>
    <w:rsid w:val="00A919F7"/>
    <w:rsid w:val="00A92256"/>
    <w:rsid w:val="00AA020E"/>
    <w:rsid w:val="00AA236C"/>
    <w:rsid w:val="00AA26CC"/>
    <w:rsid w:val="00AA2A73"/>
    <w:rsid w:val="00AA746E"/>
    <w:rsid w:val="00AA7569"/>
    <w:rsid w:val="00AB0375"/>
    <w:rsid w:val="00AB0376"/>
    <w:rsid w:val="00AB78F9"/>
    <w:rsid w:val="00AC0FFC"/>
    <w:rsid w:val="00AC503C"/>
    <w:rsid w:val="00AD0980"/>
    <w:rsid w:val="00AF73FA"/>
    <w:rsid w:val="00B11CD3"/>
    <w:rsid w:val="00B3250F"/>
    <w:rsid w:val="00B378F1"/>
    <w:rsid w:val="00B45920"/>
    <w:rsid w:val="00B46C55"/>
    <w:rsid w:val="00B53A8B"/>
    <w:rsid w:val="00B57D15"/>
    <w:rsid w:val="00B72E89"/>
    <w:rsid w:val="00B818C6"/>
    <w:rsid w:val="00B8394D"/>
    <w:rsid w:val="00BA1A5C"/>
    <w:rsid w:val="00BA599E"/>
    <w:rsid w:val="00BA6959"/>
    <w:rsid w:val="00BC2FDE"/>
    <w:rsid w:val="00BC3FBF"/>
    <w:rsid w:val="00BC4A04"/>
    <w:rsid w:val="00BD486C"/>
    <w:rsid w:val="00BD7077"/>
    <w:rsid w:val="00C033F7"/>
    <w:rsid w:val="00C05351"/>
    <w:rsid w:val="00C10664"/>
    <w:rsid w:val="00C119BF"/>
    <w:rsid w:val="00C11A9A"/>
    <w:rsid w:val="00C209B7"/>
    <w:rsid w:val="00C300A1"/>
    <w:rsid w:val="00C31ECC"/>
    <w:rsid w:val="00C32FF1"/>
    <w:rsid w:val="00C34808"/>
    <w:rsid w:val="00C456C9"/>
    <w:rsid w:val="00C47030"/>
    <w:rsid w:val="00C654C8"/>
    <w:rsid w:val="00C84473"/>
    <w:rsid w:val="00C915AD"/>
    <w:rsid w:val="00C9395C"/>
    <w:rsid w:val="00CA079C"/>
    <w:rsid w:val="00CB112F"/>
    <w:rsid w:val="00CB1E0F"/>
    <w:rsid w:val="00CC5536"/>
    <w:rsid w:val="00CD0CD5"/>
    <w:rsid w:val="00CD1607"/>
    <w:rsid w:val="00CD4088"/>
    <w:rsid w:val="00CD4BB9"/>
    <w:rsid w:val="00CD6EA3"/>
    <w:rsid w:val="00CE0D88"/>
    <w:rsid w:val="00CE116A"/>
    <w:rsid w:val="00CE69ED"/>
    <w:rsid w:val="00D062DE"/>
    <w:rsid w:val="00D10DF8"/>
    <w:rsid w:val="00D22FAC"/>
    <w:rsid w:val="00D24E86"/>
    <w:rsid w:val="00D26E96"/>
    <w:rsid w:val="00D36BDB"/>
    <w:rsid w:val="00D47E7B"/>
    <w:rsid w:val="00D5060C"/>
    <w:rsid w:val="00D57805"/>
    <w:rsid w:val="00D61207"/>
    <w:rsid w:val="00D7093C"/>
    <w:rsid w:val="00D8010B"/>
    <w:rsid w:val="00D866E5"/>
    <w:rsid w:val="00DA21EF"/>
    <w:rsid w:val="00DD10F9"/>
    <w:rsid w:val="00DD2290"/>
    <w:rsid w:val="00DD28CB"/>
    <w:rsid w:val="00DD742F"/>
    <w:rsid w:val="00DE7105"/>
    <w:rsid w:val="00DF4E08"/>
    <w:rsid w:val="00E07B8F"/>
    <w:rsid w:val="00E12D2F"/>
    <w:rsid w:val="00E20E04"/>
    <w:rsid w:val="00E23CCB"/>
    <w:rsid w:val="00E32A44"/>
    <w:rsid w:val="00E33411"/>
    <w:rsid w:val="00E404E6"/>
    <w:rsid w:val="00E407A8"/>
    <w:rsid w:val="00E53A91"/>
    <w:rsid w:val="00E579D7"/>
    <w:rsid w:val="00E62173"/>
    <w:rsid w:val="00E63EE9"/>
    <w:rsid w:val="00E714DA"/>
    <w:rsid w:val="00E71DE8"/>
    <w:rsid w:val="00E73256"/>
    <w:rsid w:val="00E74B48"/>
    <w:rsid w:val="00E74E1B"/>
    <w:rsid w:val="00E81EF2"/>
    <w:rsid w:val="00E92411"/>
    <w:rsid w:val="00E95649"/>
    <w:rsid w:val="00EA4F39"/>
    <w:rsid w:val="00EA5779"/>
    <w:rsid w:val="00EC2C02"/>
    <w:rsid w:val="00ED6F91"/>
    <w:rsid w:val="00EE2C64"/>
    <w:rsid w:val="00EE3000"/>
    <w:rsid w:val="00EE5031"/>
    <w:rsid w:val="00F02802"/>
    <w:rsid w:val="00F04931"/>
    <w:rsid w:val="00F07431"/>
    <w:rsid w:val="00F07B01"/>
    <w:rsid w:val="00F22F2B"/>
    <w:rsid w:val="00F233B0"/>
    <w:rsid w:val="00F27683"/>
    <w:rsid w:val="00F33E29"/>
    <w:rsid w:val="00F52B1F"/>
    <w:rsid w:val="00F562D0"/>
    <w:rsid w:val="00F67C5D"/>
    <w:rsid w:val="00F8781D"/>
    <w:rsid w:val="00F936C2"/>
    <w:rsid w:val="00FA2C07"/>
    <w:rsid w:val="00FA507A"/>
    <w:rsid w:val="00FB11D1"/>
    <w:rsid w:val="00FC3971"/>
    <w:rsid w:val="00FC55AA"/>
    <w:rsid w:val="00FC685E"/>
    <w:rsid w:val="00FE4FD1"/>
    <w:rsid w:val="00FF3AD5"/>
    <w:rsid w:val="00FF50C8"/>
    <w:rsid w:val="00FF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4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E7105"/>
    <w:pPr>
      <w:keepNext/>
      <w:numPr>
        <w:numId w:val="4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7105"/>
    <w:pPr>
      <w:keepNext/>
      <w:keepLines/>
      <w:shd w:val="clear" w:color="auto" w:fill="FFFFFF" w:themeFill="background1"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E710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327C65"/>
    <w:pPr>
      <w:ind w:left="720"/>
      <w:contextualSpacing/>
    </w:pPr>
  </w:style>
  <w:style w:type="paragraph" w:styleId="SemEspaamento">
    <w:name w:val="No Spacing"/>
    <w:uiPriority w:val="1"/>
    <w:qFormat/>
    <w:rsid w:val="00327C65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44FC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F50C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7A2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A572E6"/>
    <w:rPr>
      <w:color w:val="800080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861230"/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6D1F35"/>
  </w:style>
  <w:style w:type="character" w:customStyle="1" w:styleId="Ttulo1Char">
    <w:name w:val="Título 1 Char"/>
    <w:basedOn w:val="Fontepargpadro"/>
    <w:link w:val="Ttulo1"/>
    <w:uiPriority w:val="9"/>
    <w:rsid w:val="00DE7105"/>
    <w:rPr>
      <w:rFonts w:ascii="Cambria" w:eastAsia="Times New Roman" w:hAnsi="Cambria"/>
      <w:b/>
      <w:bCs/>
      <w:kern w:val="32"/>
      <w:sz w:val="40"/>
      <w:szCs w:val="40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6D1F3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table" w:styleId="Tabelacomgrade">
    <w:name w:val="Table Grid"/>
    <w:basedOn w:val="Tabelanormal"/>
    <w:uiPriority w:val="59"/>
    <w:rsid w:val="003C1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86F0A"/>
    <w:pPr>
      <w:numPr>
        <w:numId w:val="1"/>
      </w:numPr>
      <w:pBdr>
        <w:bottom w:val="single" w:sz="8" w:space="4" w:color="4F81BD" w:themeColor="accent1"/>
      </w:pBdr>
      <w:shd w:val="clear" w:color="auto" w:fill="FFFFFF" w:themeFill="background1"/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86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 w:themeFill="background1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E7105"/>
    <w:rPr>
      <w:rFonts w:asciiTheme="majorHAnsi" w:eastAsiaTheme="majorEastAsia" w:hAnsiTheme="majorHAnsi" w:cstheme="majorBidi"/>
      <w:b/>
      <w:bCs/>
      <w:sz w:val="28"/>
      <w:szCs w:val="28"/>
      <w:shd w:val="clear" w:color="auto" w:fill="FFFFFF" w:themeFill="background1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DE7105"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7296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72961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BA1A5C"/>
    <w:pPr>
      <w:spacing w:after="100"/>
    </w:pPr>
  </w:style>
  <w:style w:type="paragraph" w:styleId="Cabealho">
    <w:name w:val="header"/>
    <w:basedOn w:val="Normal"/>
    <w:link w:val="CabealhoChar"/>
    <w:uiPriority w:val="99"/>
    <w:semiHidden/>
    <w:unhideWhenUsed/>
    <w:rsid w:val="0013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234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3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7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71B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71B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071B3"/>
    <w:rPr>
      <w:vertAlign w:val="superscript"/>
    </w:rPr>
  </w:style>
  <w:style w:type="paragraph" w:styleId="Corpodetexto">
    <w:name w:val="Body Text"/>
    <w:basedOn w:val="Normal"/>
    <w:link w:val="CorpodetextoChar"/>
    <w:rsid w:val="00A05C18"/>
    <w:pPr>
      <w:spacing w:after="12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A05C18"/>
    <w:rPr>
      <w:rFonts w:ascii="Times New Roman" w:eastAsia="Times New Roman" w:hAnsi="Times New Roman"/>
      <w:szCs w:val="24"/>
      <w:lang w:eastAsia="en-US"/>
    </w:rPr>
  </w:style>
  <w:style w:type="paragraph" w:customStyle="1" w:styleId="comentrio">
    <w:name w:val="comentário"/>
    <w:basedOn w:val="Normal"/>
    <w:rsid w:val="00A05C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i/>
      <w:color w:val="0000FF"/>
      <w:sz w:val="20"/>
      <w:szCs w:val="24"/>
    </w:rPr>
  </w:style>
  <w:style w:type="paragraph" w:customStyle="1" w:styleId="EstiloN2">
    <w:name w:val="EstiloN2"/>
    <w:basedOn w:val="PargrafodaLista"/>
    <w:link w:val="EstiloN2Char1"/>
    <w:autoRedefine/>
    <w:qFormat/>
    <w:rsid w:val="009D727F"/>
    <w:pPr>
      <w:numPr>
        <w:ilvl w:val="1"/>
        <w:numId w:val="5"/>
      </w:numPr>
    </w:pPr>
    <w:rPr>
      <w:b/>
      <w:sz w:val="24"/>
      <w:szCs w:val="24"/>
    </w:rPr>
  </w:style>
  <w:style w:type="paragraph" w:customStyle="1" w:styleId="Estilo1">
    <w:name w:val="Estilo1"/>
    <w:basedOn w:val="EstiloN2"/>
    <w:link w:val="Estilo1Char"/>
    <w:qFormat/>
    <w:rsid w:val="00616992"/>
  </w:style>
  <w:style w:type="character" w:customStyle="1" w:styleId="PargrafodaListaChar">
    <w:name w:val="Parágrafo da Lista Char"/>
    <w:basedOn w:val="Fontepargpadro"/>
    <w:link w:val="PargrafodaLista"/>
    <w:uiPriority w:val="34"/>
    <w:rsid w:val="00616992"/>
    <w:rPr>
      <w:sz w:val="22"/>
      <w:szCs w:val="22"/>
      <w:lang w:eastAsia="en-US"/>
    </w:rPr>
  </w:style>
  <w:style w:type="character" w:customStyle="1" w:styleId="EstiloN2Char">
    <w:name w:val="EstiloN2 Char"/>
    <w:basedOn w:val="PargrafodaListaChar"/>
    <w:link w:val="EstiloN2"/>
    <w:rsid w:val="00616992"/>
  </w:style>
  <w:style w:type="character" w:customStyle="1" w:styleId="EstiloN2Char1">
    <w:name w:val="EstiloN2 Char1"/>
    <w:basedOn w:val="PargrafodaListaChar"/>
    <w:link w:val="EstiloN2"/>
    <w:rsid w:val="009D727F"/>
    <w:rPr>
      <w:b/>
      <w:sz w:val="24"/>
      <w:szCs w:val="24"/>
    </w:rPr>
  </w:style>
  <w:style w:type="character" w:customStyle="1" w:styleId="Estilo1Char">
    <w:name w:val="Estilo1 Char"/>
    <w:basedOn w:val="EstiloN2Char1"/>
    <w:link w:val="Estilo1"/>
    <w:rsid w:val="00616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0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06B7"/>
    <w:rsid w:val="00505321"/>
    <w:rsid w:val="00F2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8ACA7D65512410DACE835B80A661F20">
    <w:name w:val="38ACA7D65512410DACE835B80A661F20"/>
    <w:rsid w:val="00F206B7"/>
  </w:style>
  <w:style w:type="paragraph" w:customStyle="1" w:styleId="A16BF71D823C4B0E90A7EE422E0F06D2">
    <w:name w:val="A16BF71D823C4B0E90A7EE422E0F06D2"/>
    <w:rsid w:val="00F206B7"/>
  </w:style>
  <w:style w:type="paragraph" w:customStyle="1" w:styleId="3278BD6BFF0645DCACA8DF4777B50248">
    <w:name w:val="3278BD6BFF0645DCACA8DF4777B50248"/>
    <w:rsid w:val="00F206B7"/>
  </w:style>
  <w:style w:type="paragraph" w:customStyle="1" w:styleId="5F6865CA6D234083966082750BC964A2">
    <w:name w:val="5F6865CA6D234083966082750BC964A2"/>
    <w:rsid w:val="00F206B7"/>
  </w:style>
  <w:style w:type="paragraph" w:customStyle="1" w:styleId="3ABBD725CED54AB5ADBA895A6E199076">
    <w:name w:val="3ABBD725CED54AB5ADBA895A6E199076"/>
    <w:rsid w:val="00F206B7"/>
  </w:style>
  <w:style w:type="paragraph" w:customStyle="1" w:styleId="FFEEBC2F42794AA2969477A82E5D3FC8">
    <w:name w:val="FFEEBC2F42794AA2969477A82E5D3FC8"/>
    <w:rsid w:val="00F206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D1A2-461E-4605-AE94-115A0FC3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1805</Words>
  <Characters>9751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Aquisição de TI na AP</vt:lpstr>
    </vt:vector>
  </TitlesOfParts>
  <Company/>
  <LinksUpToDate>false</LinksUpToDate>
  <CharactersWithSpaces>11533</CharactersWithSpaces>
  <SharedDoc>false</SharedDoc>
  <HLinks>
    <vt:vector size="12" baseType="variant">
      <vt:variant>
        <vt:i4>917577</vt:i4>
      </vt:variant>
      <vt:variant>
        <vt:i4>48</vt:i4>
      </vt:variant>
      <vt:variant>
        <vt:i4>0</vt:i4>
      </vt:variant>
      <vt:variant>
        <vt:i4>5</vt:i4>
      </vt:variant>
      <vt:variant>
        <vt:lpwstr>http://www.sergiovix.com.br/</vt:lpwstr>
      </vt:variant>
      <vt:variant>
        <vt:lpwstr/>
      </vt:variant>
      <vt:variant>
        <vt:i4>917577</vt:i4>
      </vt:variant>
      <vt:variant>
        <vt:i4>27</vt:i4>
      </vt:variant>
      <vt:variant>
        <vt:i4>0</vt:i4>
      </vt:variant>
      <vt:variant>
        <vt:i4>5</vt:i4>
      </vt:variant>
      <vt:variant>
        <vt:lpwstr>http://www.sergiovix.com.br/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Aquisição de TI na AP</dc:title>
  <dc:subject/>
  <dc:creator>SSC</dc:creator>
  <cp:keywords/>
  <dc:description/>
  <cp:lastModifiedBy>SSC</cp:lastModifiedBy>
  <cp:revision>3</cp:revision>
  <dcterms:created xsi:type="dcterms:W3CDTF">2009-06-30T10:31:00Z</dcterms:created>
  <dcterms:modified xsi:type="dcterms:W3CDTF">2009-06-30T11:00:00Z</dcterms:modified>
</cp:coreProperties>
</file>